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66DA" w14:textId="77777777" w:rsidR="008A34EB" w:rsidRPr="00C60246" w:rsidRDefault="009A11F8" w:rsidP="001E03FC">
      <w:pPr>
        <w:ind w:left="720"/>
        <w:jc w:val="right"/>
        <w:rPr>
          <w:lang w:val="en-GB"/>
        </w:rPr>
      </w:pPr>
      <w:r w:rsidRPr="00C60246">
        <w:rPr>
          <w:lang w:val="en-GB"/>
        </w:rPr>
        <w:t>Information list of a subject</w:t>
      </w:r>
    </w:p>
    <w:p w14:paraId="1A3CAE76" w14:textId="77777777" w:rsidR="008A34EB" w:rsidRPr="00C60246" w:rsidRDefault="008A34EB" w:rsidP="00710EED">
      <w:pPr>
        <w:ind w:left="720"/>
        <w:jc w:val="both"/>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8A34EB" w:rsidRPr="00C60246" w14:paraId="315407ED" w14:textId="77777777" w:rsidTr="00B06D3E">
        <w:tc>
          <w:tcPr>
            <w:tcW w:w="9322" w:type="dxa"/>
            <w:gridSpan w:val="2"/>
          </w:tcPr>
          <w:p w14:paraId="24FDA29C" w14:textId="77777777" w:rsidR="008A34EB" w:rsidRPr="00C60246" w:rsidRDefault="009A11F8" w:rsidP="00710EED">
            <w:pPr>
              <w:jc w:val="both"/>
              <w:rPr>
                <w:lang w:val="en-GB"/>
              </w:rPr>
            </w:pPr>
            <w:r w:rsidRPr="00C60246">
              <w:rPr>
                <w:b/>
                <w:lang w:val="en-GB"/>
              </w:rPr>
              <w:t>University</w:t>
            </w:r>
            <w:r w:rsidR="008A34EB" w:rsidRPr="00C60246">
              <w:rPr>
                <w:b/>
                <w:lang w:val="en-GB"/>
              </w:rPr>
              <w:t>:</w:t>
            </w:r>
            <w:r w:rsidR="008A34EB" w:rsidRPr="00C60246">
              <w:rPr>
                <w:lang w:val="en-GB"/>
              </w:rPr>
              <w:t xml:space="preserve"> </w:t>
            </w:r>
            <w:r w:rsidR="00520415" w:rsidRPr="00C60246">
              <w:rPr>
                <w:lang w:val="en-GB"/>
              </w:rPr>
              <w:t>B</w:t>
            </w:r>
            <w:r w:rsidR="008C3BCE" w:rsidRPr="00C60246">
              <w:rPr>
                <w:lang w:val="en-GB"/>
              </w:rPr>
              <w:t>ratislava International School of Liberal Arts (BISLA)</w:t>
            </w:r>
          </w:p>
        </w:tc>
      </w:tr>
      <w:tr w:rsidR="008A34EB" w:rsidRPr="00C60246" w14:paraId="2284E11A" w14:textId="77777777" w:rsidTr="00B06D3E">
        <w:tc>
          <w:tcPr>
            <w:tcW w:w="9322" w:type="dxa"/>
            <w:gridSpan w:val="2"/>
          </w:tcPr>
          <w:p w14:paraId="7FC0CCFC" w14:textId="77777777" w:rsidR="008A34EB" w:rsidRPr="00C60246" w:rsidRDefault="009A11F8" w:rsidP="00710EED">
            <w:pPr>
              <w:jc w:val="both"/>
              <w:rPr>
                <w:lang w:val="en-GB"/>
              </w:rPr>
            </w:pPr>
            <w:r w:rsidRPr="00C60246">
              <w:rPr>
                <w:b/>
                <w:lang w:val="en-GB"/>
              </w:rPr>
              <w:t>Faculty</w:t>
            </w:r>
            <w:r w:rsidR="008A34EB" w:rsidRPr="00C60246">
              <w:rPr>
                <w:b/>
                <w:lang w:val="en-GB"/>
              </w:rPr>
              <w:t>:</w:t>
            </w:r>
            <w:r w:rsidR="008A34EB" w:rsidRPr="00C60246">
              <w:rPr>
                <w:lang w:val="en-GB"/>
              </w:rPr>
              <w:t xml:space="preserve"> </w:t>
            </w:r>
            <w:r w:rsidR="009960C0" w:rsidRPr="00C60246">
              <w:rPr>
                <w:lang w:val="en-GB"/>
              </w:rPr>
              <w:t>Faculty of Law</w:t>
            </w:r>
          </w:p>
        </w:tc>
      </w:tr>
      <w:tr w:rsidR="00D014BC" w:rsidRPr="00C60246" w14:paraId="6677A7E3" w14:textId="77777777" w:rsidTr="00B06D3E">
        <w:tc>
          <w:tcPr>
            <w:tcW w:w="4110" w:type="dxa"/>
          </w:tcPr>
          <w:p w14:paraId="5EBC582B" w14:textId="29EACA5D" w:rsidR="00D014BC" w:rsidRPr="00C60246" w:rsidRDefault="009A11F8" w:rsidP="00D014BC">
            <w:pPr>
              <w:jc w:val="both"/>
              <w:rPr>
                <w:color w:val="000000"/>
                <w:lang w:val="en-GB"/>
              </w:rPr>
            </w:pPr>
            <w:r w:rsidRPr="00C60246">
              <w:rPr>
                <w:b/>
                <w:lang w:val="en-GB"/>
              </w:rPr>
              <w:t>Subject code</w:t>
            </w:r>
            <w:r w:rsidR="009960C0" w:rsidRPr="00C60246">
              <w:rPr>
                <w:b/>
                <w:lang w:val="en-GB"/>
              </w:rPr>
              <w:t xml:space="preserve"> </w:t>
            </w:r>
            <w:r w:rsidR="00903A0F">
              <w:t>IR-243</w:t>
            </w:r>
          </w:p>
        </w:tc>
        <w:tc>
          <w:tcPr>
            <w:tcW w:w="5212" w:type="dxa"/>
          </w:tcPr>
          <w:p w14:paraId="7A8F4C86" w14:textId="09899D39" w:rsidR="00D014BC" w:rsidRPr="00C60246" w:rsidRDefault="009A11F8" w:rsidP="00D014BC">
            <w:pPr>
              <w:tabs>
                <w:tab w:val="center" w:pos="2498"/>
              </w:tabs>
              <w:jc w:val="both"/>
              <w:rPr>
                <w:lang w:val="en-GB"/>
              </w:rPr>
            </w:pPr>
            <w:r w:rsidRPr="00C60246">
              <w:rPr>
                <w:b/>
                <w:lang w:val="en-GB"/>
              </w:rPr>
              <w:t>Subject name</w:t>
            </w:r>
            <w:r w:rsidR="00D014BC" w:rsidRPr="00C60246">
              <w:rPr>
                <w:b/>
                <w:lang w:val="en-GB"/>
              </w:rPr>
              <w:t>:</w:t>
            </w:r>
            <w:r w:rsidR="00AB4E49" w:rsidRPr="00C60246">
              <w:rPr>
                <w:b/>
                <w:lang w:val="en-GB"/>
              </w:rPr>
              <w:t xml:space="preserve"> </w:t>
            </w:r>
            <w:r w:rsidR="000E6A5A" w:rsidRPr="00C60246">
              <w:rPr>
                <w:bCs/>
                <w:lang w:val="en-GB"/>
              </w:rPr>
              <w:t xml:space="preserve">The </w:t>
            </w:r>
            <w:r w:rsidR="00AB4E49" w:rsidRPr="00C60246">
              <w:rPr>
                <w:bCs/>
                <w:lang w:val="en-GB"/>
              </w:rPr>
              <w:t>European Union</w:t>
            </w:r>
            <w:r w:rsidR="00D014BC" w:rsidRPr="00C60246">
              <w:rPr>
                <w:bCs/>
                <w:lang w:val="en-GB"/>
              </w:rPr>
              <w:tab/>
            </w:r>
          </w:p>
        </w:tc>
      </w:tr>
      <w:tr w:rsidR="008A34EB" w:rsidRPr="00C60246" w14:paraId="5904854F" w14:textId="77777777" w:rsidTr="00B06D3E">
        <w:trPr>
          <w:trHeight w:val="714"/>
        </w:trPr>
        <w:tc>
          <w:tcPr>
            <w:tcW w:w="9322" w:type="dxa"/>
            <w:gridSpan w:val="2"/>
          </w:tcPr>
          <w:p w14:paraId="1770AF5F" w14:textId="77777777" w:rsidR="008A34EB" w:rsidRPr="00C60246" w:rsidRDefault="009A11F8" w:rsidP="00710EED">
            <w:pPr>
              <w:jc w:val="both"/>
              <w:rPr>
                <w:lang w:val="en-GB"/>
              </w:rPr>
            </w:pPr>
            <w:r w:rsidRPr="00C60246">
              <w:rPr>
                <w:b/>
                <w:lang w:val="en-GB"/>
              </w:rPr>
              <w:t>Type, scope, and method of educational activities</w:t>
            </w:r>
            <w:r w:rsidR="008A34EB" w:rsidRPr="00C60246">
              <w:rPr>
                <w:b/>
                <w:lang w:val="en-GB"/>
              </w:rPr>
              <w:t>:</w:t>
            </w:r>
            <w:r w:rsidR="008A34EB" w:rsidRPr="00C60246">
              <w:rPr>
                <w:lang w:val="en-GB"/>
              </w:rPr>
              <w:t xml:space="preserve"> </w:t>
            </w:r>
            <w:r w:rsidR="005E7BCE" w:rsidRPr="00C60246">
              <w:rPr>
                <w:lang w:val="en-GB"/>
              </w:rPr>
              <w:t xml:space="preserve">Two weekly meetings of 90 minutes each, amounting 42 hours total. Every week, the first meeting takes the form of a lecture and the </w:t>
            </w:r>
            <w:r w:rsidR="001436E2" w:rsidRPr="00C60246">
              <w:rPr>
                <w:lang w:val="en-GB"/>
              </w:rPr>
              <w:t>second</w:t>
            </w:r>
            <w:r w:rsidR="005E7BCE" w:rsidRPr="00C60246">
              <w:rPr>
                <w:lang w:val="en-GB"/>
              </w:rPr>
              <w:t xml:space="preserve"> of a seminar.</w:t>
            </w:r>
            <w:r w:rsidR="007F2741" w:rsidRPr="00C60246">
              <w:rPr>
                <w:lang w:val="en-GB"/>
              </w:rPr>
              <w:t xml:space="preserve"> </w:t>
            </w:r>
          </w:p>
        </w:tc>
      </w:tr>
      <w:tr w:rsidR="008A34EB" w:rsidRPr="00C60246" w14:paraId="155E0122" w14:textId="77777777" w:rsidTr="00B06D3E">
        <w:trPr>
          <w:trHeight w:val="286"/>
        </w:trPr>
        <w:tc>
          <w:tcPr>
            <w:tcW w:w="9322" w:type="dxa"/>
            <w:gridSpan w:val="2"/>
          </w:tcPr>
          <w:p w14:paraId="1D7B1193" w14:textId="77777777" w:rsidR="008A34EB" w:rsidRPr="00C60246" w:rsidRDefault="00423923" w:rsidP="00710EED">
            <w:pPr>
              <w:jc w:val="both"/>
              <w:rPr>
                <w:lang w:val="en-GB"/>
              </w:rPr>
            </w:pPr>
            <w:r w:rsidRPr="00C60246">
              <w:rPr>
                <w:b/>
                <w:lang w:val="en-GB"/>
              </w:rPr>
              <w:t>Number of credits</w:t>
            </w:r>
            <w:r w:rsidR="008A34EB" w:rsidRPr="00C60246">
              <w:rPr>
                <w:b/>
                <w:lang w:val="en-GB"/>
              </w:rPr>
              <w:t>:</w:t>
            </w:r>
            <w:r w:rsidR="008A34EB" w:rsidRPr="00C60246">
              <w:rPr>
                <w:lang w:val="en-GB"/>
              </w:rPr>
              <w:t xml:space="preserve"> </w:t>
            </w:r>
            <w:r w:rsidR="004269F5" w:rsidRPr="00C60246">
              <w:rPr>
                <w:lang w:val="en-GB"/>
              </w:rPr>
              <w:t xml:space="preserve"> </w:t>
            </w:r>
            <w:r w:rsidR="00EC07A3" w:rsidRPr="00C60246">
              <w:rPr>
                <w:lang w:val="en-GB"/>
              </w:rPr>
              <w:t xml:space="preserve">5 </w:t>
            </w:r>
            <w:r w:rsidR="004269F5" w:rsidRPr="00C60246">
              <w:rPr>
                <w:lang w:val="en-GB"/>
              </w:rPr>
              <w:t>ECT</w:t>
            </w:r>
          </w:p>
        </w:tc>
      </w:tr>
      <w:tr w:rsidR="00D014BC" w:rsidRPr="00C60246" w14:paraId="01511EB1" w14:textId="77777777" w:rsidTr="00B06D3E">
        <w:tc>
          <w:tcPr>
            <w:tcW w:w="9322" w:type="dxa"/>
            <w:gridSpan w:val="2"/>
          </w:tcPr>
          <w:p w14:paraId="525E28D4" w14:textId="200D3784" w:rsidR="00D014BC" w:rsidRPr="00C60246" w:rsidRDefault="00423923" w:rsidP="00D014BC">
            <w:pPr>
              <w:jc w:val="both"/>
              <w:rPr>
                <w:color w:val="000000"/>
                <w:vertAlign w:val="subscript"/>
                <w:lang w:val="en-GB"/>
              </w:rPr>
            </w:pPr>
            <w:r w:rsidRPr="00C60246">
              <w:rPr>
                <w:b/>
                <w:lang w:val="en-GB"/>
              </w:rPr>
              <w:t>Suggested semester:</w:t>
            </w:r>
            <w:r w:rsidR="009871C8" w:rsidRPr="00C60246">
              <w:rPr>
                <w:b/>
                <w:lang w:val="en-GB"/>
              </w:rPr>
              <w:t xml:space="preserve"> </w:t>
            </w:r>
            <w:r w:rsidR="00EC0074" w:rsidRPr="00C60246">
              <w:rPr>
                <w:b/>
                <w:lang w:val="en-GB"/>
              </w:rPr>
              <w:t>–</w:t>
            </w:r>
          </w:p>
        </w:tc>
      </w:tr>
      <w:tr w:rsidR="008A34EB" w:rsidRPr="00C60246" w14:paraId="18A5A7BF" w14:textId="77777777" w:rsidTr="00B06D3E">
        <w:tc>
          <w:tcPr>
            <w:tcW w:w="9322" w:type="dxa"/>
            <w:gridSpan w:val="2"/>
          </w:tcPr>
          <w:p w14:paraId="20131F54" w14:textId="77777777" w:rsidR="008A34EB" w:rsidRPr="00C60246" w:rsidRDefault="00423923" w:rsidP="00710EED">
            <w:pPr>
              <w:jc w:val="both"/>
              <w:rPr>
                <w:lang w:val="en-GB"/>
              </w:rPr>
            </w:pPr>
            <w:r w:rsidRPr="00C60246">
              <w:rPr>
                <w:b/>
                <w:lang w:val="en-GB"/>
              </w:rPr>
              <w:t>Level of studies</w:t>
            </w:r>
            <w:r w:rsidR="008A34EB" w:rsidRPr="00C60246">
              <w:rPr>
                <w:b/>
                <w:lang w:val="en-GB"/>
              </w:rPr>
              <w:t>:</w:t>
            </w:r>
            <w:r w:rsidR="008A34EB" w:rsidRPr="00C60246">
              <w:rPr>
                <w:lang w:val="en-GB"/>
              </w:rPr>
              <w:t xml:space="preserve"> </w:t>
            </w:r>
            <w:r w:rsidR="00BE4881" w:rsidRPr="00C60246">
              <w:rPr>
                <w:lang w:val="en-GB"/>
              </w:rPr>
              <w:t>1</w:t>
            </w:r>
          </w:p>
        </w:tc>
      </w:tr>
      <w:tr w:rsidR="008A34EB" w:rsidRPr="00C60246" w14:paraId="5A54AD6B" w14:textId="77777777" w:rsidTr="00B06D3E">
        <w:tc>
          <w:tcPr>
            <w:tcW w:w="9322" w:type="dxa"/>
            <w:gridSpan w:val="2"/>
          </w:tcPr>
          <w:p w14:paraId="2620FB48" w14:textId="77777777" w:rsidR="008A34EB" w:rsidRPr="00C60246" w:rsidRDefault="00423923" w:rsidP="00710EED">
            <w:pPr>
              <w:jc w:val="both"/>
              <w:rPr>
                <w:lang w:val="en-GB"/>
              </w:rPr>
            </w:pPr>
            <w:r w:rsidRPr="00C60246">
              <w:rPr>
                <w:b/>
                <w:lang w:val="en-GB"/>
              </w:rPr>
              <w:t>Conditional previous subjects</w:t>
            </w:r>
            <w:r w:rsidR="008A34EB" w:rsidRPr="00C60246">
              <w:rPr>
                <w:b/>
                <w:lang w:val="en-GB"/>
              </w:rPr>
              <w:t>:</w:t>
            </w:r>
            <w:r w:rsidR="008A34EB" w:rsidRPr="00C60246">
              <w:rPr>
                <w:lang w:val="en-GB"/>
              </w:rPr>
              <w:t xml:space="preserve"> </w:t>
            </w:r>
            <w:r w:rsidR="001F0BF7" w:rsidRPr="00C60246">
              <w:rPr>
                <w:lang w:val="en-GB"/>
              </w:rPr>
              <w:t>none</w:t>
            </w:r>
          </w:p>
        </w:tc>
      </w:tr>
      <w:tr w:rsidR="008A34EB" w:rsidRPr="00C60246" w14:paraId="33B9A6FF" w14:textId="77777777" w:rsidTr="00B06D3E">
        <w:tc>
          <w:tcPr>
            <w:tcW w:w="9322" w:type="dxa"/>
            <w:gridSpan w:val="2"/>
          </w:tcPr>
          <w:p w14:paraId="7D8DC329" w14:textId="77777777" w:rsidR="00E31F2F" w:rsidRPr="00C60246" w:rsidRDefault="00423923" w:rsidP="00710EED">
            <w:pPr>
              <w:jc w:val="both"/>
              <w:rPr>
                <w:bCs/>
                <w:lang w:val="en-GB"/>
              </w:rPr>
            </w:pPr>
            <w:r w:rsidRPr="00C60246">
              <w:rPr>
                <w:b/>
                <w:lang w:val="en-GB"/>
              </w:rPr>
              <w:t>Requirements for the course</w:t>
            </w:r>
            <w:r w:rsidR="008A34EB" w:rsidRPr="00C60246">
              <w:rPr>
                <w:b/>
                <w:lang w:val="en-GB"/>
              </w:rPr>
              <w:t>:</w:t>
            </w:r>
            <w:r w:rsidR="00D014BC" w:rsidRPr="00C60246">
              <w:rPr>
                <w:bCs/>
                <w:lang w:val="en-GB"/>
              </w:rPr>
              <w:t xml:space="preserve"> </w:t>
            </w:r>
          </w:p>
          <w:p w14:paraId="428509F5" w14:textId="77777777" w:rsidR="00EC07A3" w:rsidRPr="00C60246" w:rsidRDefault="00E31F2F" w:rsidP="00710EED">
            <w:pPr>
              <w:jc w:val="both"/>
              <w:rPr>
                <w:bCs/>
                <w:lang w:val="en-GB"/>
              </w:rPr>
            </w:pPr>
            <w:r w:rsidRPr="00C60246">
              <w:rPr>
                <w:bCs/>
                <w:lang w:val="en-GB"/>
              </w:rPr>
              <w:t>Passing the course assumes that student was not absent at more than 4 class sessions. Late arrival is marked as a “tardie”. Three tardies equal one absence. Missing more than 15 minutes of the class is considered an absence</w:t>
            </w:r>
            <w:r w:rsidR="006C5BD1" w:rsidRPr="00C60246">
              <w:rPr>
                <w:bCs/>
                <w:lang w:val="en-GB"/>
              </w:rPr>
              <w:t>.</w:t>
            </w:r>
            <w:r w:rsidR="009960C0" w:rsidRPr="00C60246">
              <w:rPr>
                <w:bCs/>
                <w:lang w:val="en-GB"/>
              </w:rPr>
              <w:t xml:space="preserve"> </w:t>
            </w:r>
          </w:p>
          <w:p w14:paraId="04DBE4D5" w14:textId="77777777" w:rsidR="00EC07A3" w:rsidRPr="00C60246" w:rsidRDefault="00EC07A3" w:rsidP="00710EED">
            <w:pPr>
              <w:jc w:val="both"/>
              <w:rPr>
                <w:bCs/>
                <w:lang w:val="en-GB"/>
              </w:rPr>
            </w:pPr>
          </w:p>
          <w:p w14:paraId="5E7AA599" w14:textId="26EA27B1" w:rsidR="009960C0" w:rsidRPr="00586312" w:rsidRDefault="009960C0" w:rsidP="00710EED">
            <w:pPr>
              <w:jc w:val="both"/>
              <w:rPr>
                <w:bCs/>
                <w:lang w:val="en-GB"/>
              </w:rPr>
            </w:pPr>
            <w:r w:rsidRPr="00C60246">
              <w:rPr>
                <w:bCs/>
                <w:lang w:val="en-GB"/>
              </w:rPr>
              <w:t>Assignment</w:t>
            </w:r>
            <w:r w:rsidR="00EC07A3" w:rsidRPr="00C60246">
              <w:rPr>
                <w:bCs/>
                <w:lang w:val="en-GB"/>
              </w:rPr>
              <w:t>s and evaluation:</w:t>
            </w:r>
          </w:p>
          <w:p w14:paraId="222FD160" w14:textId="77777777" w:rsidR="00EC07A3" w:rsidRPr="00C60246" w:rsidRDefault="00EC07A3" w:rsidP="001A61C1">
            <w:pPr>
              <w:numPr>
                <w:ilvl w:val="0"/>
                <w:numId w:val="2"/>
              </w:numPr>
              <w:jc w:val="both"/>
              <w:rPr>
                <w:bCs/>
                <w:lang w:val="en-GB"/>
              </w:rPr>
            </w:pPr>
            <w:r w:rsidRPr="00C60246">
              <w:rPr>
                <w:bCs/>
                <w:lang w:val="en-GB"/>
              </w:rPr>
              <w:t>Final essay (50%) - research paper, 2000 words, response to one of the major essay questions which corresponds with the topics on the syllabus</w:t>
            </w:r>
          </w:p>
          <w:p w14:paraId="1F8024D9" w14:textId="77777777" w:rsidR="00EC07A3" w:rsidRPr="00C60246" w:rsidRDefault="00EC07A3" w:rsidP="001A61C1">
            <w:pPr>
              <w:numPr>
                <w:ilvl w:val="0"/>
                <w:numId w:val="2"/>
              </w:numPr>
              <w:jc w:val="both"/>
              <w:rPr>
                <w:bCs/>
                <w:lang w:val="en-GB"/>
              </w:rPr>
            </w:pPr>
            <w:r w:rsidRPr="00C60246">
              <w:rPr>
                <w:bCs/>
                <w:lang w:val="en-GB"/>
              </w:rPr>
              <w:t>Participation in the class discussion (10%)</w:t>
            </w:r>
          </w:p>
          <w:p w14:paraId="12124B90" w14:textId="77777777" w:rsidR="00EC07A3" w:rsidRPr="00C60246" w:rsidRDefault="00EC07A3" w:rsidP="001A61C1">
            <w:pPr>
              <w:numPr>
                <w:ilvl w:val="0"/>
                <w:numId w:val="2"/>
              </w:numPr>
              <w:jc w:val="both"/>
              <w:rPr>
                <w:bCs/>
                <w:lang w:val="en-GB"/>
              </w:rPr>
            </w:pPr>
            <w:r w:rsidRPr="00C60246">
              <w:rPr>
                <w:bCs/>
                <w:lang w:val="en-GB"/>
              </w:rPr>
              <w:t>Attendance (30%)</w:t>
            </w:r>
          </w:p>
          <w:p w14:paraId="2C445CD2" w14:textId="77777777" w:rsidR="00DD5A88" w:rsidRPr="00C60246" w:rsidRDefault="00EC07A3" w:rsidP="001A61C1">
            <w:pPr>
              <w:numPr>
                <w:ilvl w:val="0"/>
                <w:numId w:val="2"/>
              </w:numPr>
              <w:jc w:val="both"/>
              <w:rPr>
                <w:lang w:val="en-GB"/>
              </w:rPr>
            </w:pPr>
            <w:r w:rsidRPr="00C60246">
              <w:rPr>
                <w:bCs/>
                <w:lang w:val="en-GB"/>
              </w:rPr>
              <w:t>Pop quiz (10%)</w:t>
            </w:r>
            <w:r w:rsidRPr="00C60246">
              <w:rPr>
                <w:lang w:val="en-GB"/>
              </w:rPr>
              <w:t xml:space="preserve"> </w:t>
            </w:r>
          </w:p>
          <w:p w14:paraId="62E985AA" w14:textId="77777777" w:rsidR="001A61C1" w:rsidRPr="00C60246" w:rsidRDefault="001A61C1" w:rsidP="001A61C1">
            <w:pPr>
              <w:ind w:left="720"/>
              <w:jc w:val="both"/>
              <w:rPr>
                <w:lang w:val="en-GB"/>
              </w:rPr>
            </w:pPr>
          </w:p>
        </w:tc>
      </w:tr>
      <w:tr w:rsidR="008A34EB" w:rsidRPr="00C60246" w14:paraId="6411C055" w14:textId="77777777" w:rsidTr="00B06D3E">
        <w:tc>
          <w:tcPr>
            <w:tcW w:w="9322" w:type="dxa"/>
            <w:gridSpan w:val="2"/>
          </w:tcPr>
          <w:p w14:paraId="51611113" w14:textId="77777777" w:rsidR="00493A75" w:rsidRPr="00C60246" w:rsidRDefault="00423923" w:rsidP="00493A75">
            <w:pPr>
              <w:jc w:val="both"/>
              <w:rPr>
                <w:bCs/>
                <w:lang w:val="en-GB"/>
              </w:rPr>
            </w:pPr>
            <w:r w:rsidRPr="00C60246">
              <w:rPr>
                <w:b/>
                <w:lang w:val="en-GB"/>
              </w:rPr>
              <w:t>Learning outcomes</w:t>
            </w:r>
            <w:r w:rsidR="008A34EB" w:rsidRPr="00C60246">
              <w:rPr>
                <w:b/>
                <w:lang w:val="en-GB"/>
              </w:rPr>
              <w:t>:</w:t>
            </w:r>
            <w:r w:rsidR="00D014BC" w:rsidRPr="00C60246">
              <w:rPr>
                <w:bCs/>
                <w:lang w:val="en-GB"/>
              </w:rPr>
              <w:t xml:space="preserve"> </w:t>
            </w:r>
          </w:p>
          <w:p w14:paraId="251A0BBA" w14:textId="43AC78AA" w:rsidR="00493A75" w:rsidRPr="00C60246" w:rsidRDefault="00493A75" w:rsidP="00493A75">
            <w:pPr>
              <w:jc w:val="both"/>
              <w:rPr>
                <w:bCs/>
                <w:lang w:val="en-GB"/>
              </w:rPr>
            </w:pPr>
            <w:r w:rsidRPr="00C60246">
              <w:rPr>
                <w:lang w:val="en-GB"/>
              </w:rPr>
              <w:t>The course aims to help students understand the roles and interactions among key institutions, such as the European Commission and the European Council, as well as the legal basis and decision-making processes that shape EU policies. By the end of the course, students will have gained a comprehensive understanding of the European Union as an institution and will have developed critical thinking skills to analy</w:t>
            </w:r>
            <w:r w:rsidR="00C60246" w:rsidRPr="00C60246">
              <w:rPr>
                <w:lang w:val="en-GB"/>
              </w:rPr>
              <w:t>s</w:t>
            </w:r>
            <w:r w:rsidRPr="00C60246">
              <w:rPr>
                <w:lang w:val="en-GB"/>
              </w:rPr>
              <w:t>e and evaluate its fundamental principles, complex functioning, and global significance.</w:t>
            </w:r>
          </w:p>
          <w:p w14:paraId="4926798C" w14:textId="77777777" w:rsidR="00883335" w:rsidRPr="00C60246" w:rsidRDefault="00883335" w:rsidP="00FC7877">
            <w:pPr>
              <w:jc w:val="both"/>
              <w:rPr>
                <w:bCs/>
                <w:lang w:val="en-GB"/>
              </w:rPr>
            </w:pPr>
          </w:p>
        </w:tc>
      </w:tr>
      <w:tr w:rsidR="008A34EB" w:rsidRPr="00C60246" w14:paraId="1657D5B7" w14:textId="77777777" w:rsidTr="00B06D3E">
        <w:tc>
          <w:tcPr>
            <w:tcW w:w="9322" w:type="dxa"/>
            <w:gridSpan w:val="2"/>
          </w:tcPr>
          <w:p w14:paraId="463E1537" w14:textId="77777777" w:rsidR="00ED7937" w:rsidRDefault="00423923" w:rsidP="00ED7937">
            <w:pPr>
              <w:jc w:val="both"/>
              <w:rPr>
                <w:b/>
                <w:lang w:val="en-GB"/>
              </w:rPr>
            </w:pPr>
            <w:r w:rsidRPr="00C60246">
              <w:rPr>
                <w:b/>
                <w:lang w:val="en-GB"/>
              </w:rPr>
              <w:t>Brief outline of the course</w:t>
            </w:r>
            <w:r w:rsidR="008A34EB" w:rsidRPr="00C60246">
              <w:rPr>
                <w:b/>
                <w:lang w:val="en-GB"/>
              </w:rPr>
              <w:t>:</w:t>
            </w:r>
            <w:r w:rsidR="00862EA3" w:rsidRPr="00C60246">
              <w:rPr>
                <w:b/>
                <w:lang w:val="en-GB"/>
              </w:rPr>
              <w:t xml:space="preserve"> </w:t>
            </w:r>
          </w:p>
          <w:p w14:paraId="492CE1B5" w14:textId="4A15ED51" w:rsidR="00ED7937" w:rsidRPr="00ED7937" w:rsidRDefault="00ED7937" w:rsidP="00ED7937">
            <w:pPr>
              <w:jc w:val="both"/>
              <w:rPr>
                <w:b/>
                <w:lang w:val="en-GB"/>
              </w:rPr>
            </w:pPr>
            <w:r>
              <w:t>This course explores the European Union, covering its principles, evolution, institutional structure, and current challenges. It begins with an examination of the EU's core values and history, tracing its development from inception to its present-day diverse composition. The course also addresses the EU's expansion and the complexities within the Customs Union. Students will gain a deeper understanding of key EU institutions and analyse contemporary challenges, including citizen engagement, member state relations, and policy areas such as economics, the environment, and foreign affairs.</w:t>
            </w:r>
          </w:p>
          <w:p w14:paraId="365FDAC0" w14:textId="166A2E9D" w:rsidR="008F3263" w:rsidRPr="00C60246" w:rsidRDefault="008F3263" w:rsidP="009445DC">
            <w:pPr>
              <w:jc w:val="both"/>
              <w:rPr>
                <w:bCs/>
                <w:lang w:val="en-GB"/>
              </w:rPr>
            </w:pPr>
          </w:p>
        </w:tc>
      </w:tr>
      <w:tr w:rsidR="008A34EB" w:rsidRPr="00C60246" w14:paraId="1B4777CA" w14:textId="77777777" w:rsidTr="00B06D3E">
        <w:tc>
          <w:tcPr>
            <w:tcW w:w="9322" w:type="dxa"/>
            <w:gridSpan w:val="2"/>
          </w:tcPr>
          <w:p w14:paraId="42AE786A" w14:textId="77777777" w:rsidR="00130CA6" w:rsidRPr="00C60246" w:rsidRDefault="009960C0" w:rsidP="00130CA6">
            <w:pPr>
              <w:tabs>
                <w:tab w:val="left" w:pos="3945"/>
              </w:tabs>
              <w:jc w:val="both"/>
              <w:rPr>
                <w:b/>
                <w:lang w:val="en-GB"/>
              </w:rPr>
            </w:pPr>
            <w:r w:rsidRPr="00C60246">
              <w:rPr>
                <w:b/>
                <w:lang w:val="en-GB"/>
              </w:rPr>
              <w:t>Recommended</w:t>
            </w:r>
            <w:r w:rsidR="00423923" w:rsidRPr="00C60246">
              <w:rPr>
                <w:b/>
                <w:lang w:val="en-GB"/>
              </w:rPr>
              <w:t xml:space="preserve"> readings</w:t>
            </w:r>
            <w:r w:rsidR="008A34EB" w:rsidRPr="00C60246">
              <w:rPr>
                <w:b/>
                <w:lang w:val="en-GB"/>
              </w:rPr>
              <w:t>:</w:t>
            </w:r>
            <w:r w:rsidR="00710EED" w:rsidRPr="00C60246">
              <w:rPr>
                <w:b/>
                <w:lang w:val="en-GB"/>
              </w:rPr>
              <w:t xml:space="preserve"> </w:t>
            </w:r>
          </w:p>
          <w:p w14:paraId="4F3056CD" w14:textId="4FF3A0F3" w:rsidR="00B832A6" w:rsidRPr="00C60246" w:rsidRDefault="00B832A6" w:rsidP="00FD512F">
            <w:pPr>
              <w:pStyle w:val="Normlnywebov"/>
              <w:spacing w:before="0" w:beforeAutospacing="0" w:after="0" w:afterAutospacing="0" w:line="360" w:lineRule="auto"/>
              <w:ind w:left="720" w:hanging="720"/>
            </w:pPr>
            <w:r w:rsidRPr="00C60246">
              <w:t>Borchardt, K.</w:t>
            </w:r>
            <w:r w:rsidR="003C4515">
              <w:t xml:space="preserve"> </w:t>
            </w:r>
            <w:r w:rsidRPr="00C60246">
              <w:t xml:space="preserve">D. (2000). </w:t>
            </w:r>
            <w:r w:rsidRPr="00C60246">
              <w:rPr>
                <w:i/>
                <w:iCs/>
              </w:rPr>
              <w:t>The ABC of European Union Law</w:t>
            </w:r>
            <w:r w:rsidRPr="00C60246">
              <w:t>. Office for Official Publications of the European Communities.</w:t>
            </w:r>
          </w:p>
          <w:p w14:paraId="0C7EE0F3" w14:textId="77777777" w:rsidR="00B832A6" w:rsidRPr="00C60246" w:rsidRDefault="00B832A6" w:rsidP="00B832A6">
            <w:pPr>
              <w:pStyle w:val="Normlnywebov"/>
              <w:spacing w:before="0" w:beforeAutospacing="0" w:after="0" w:afterAutospacing="0" w:line="360" w:lineRule="auto"/>
              <w:ind w:left="720" w:hanging="720"/>
            </w:pPr>
            <w:r w:rsidRPr="00C60246">
              <w:t xml:space="preserve">Kaeding, M., Pollak, J., &amp; Schmidt, P. (Eds.). (2024). </w:t>
            </w:r>
            <w:r w:rsidRPr="00C60246">
              <w:rPr>
                <w:i/>
                <w:iCs/>
              </w:rPr>
              <w:t>Enlargement and the Future of Europe</w:t>
            </w:r>
            <w:r w:rsidRPr="00C60246">
              <w:t>. Springer Nature.</w:t>
            </w:r>
          </w:p>
          <w:p w14:paraId="7A888205" w14:textId="77777777" w:rsidR="00B832A6" w:rsidRPr="00C60246" w:rsidRDefault="00B832A6" w:rsidP="00B832A6">
            <w:pPr>
              <w:pStyle w:val="Normlnywebov"/>
              <w:spacing w:before="0" w:beforeAutospacing="0" w:after="0" w:afterAutospacing="0" w:line="360" w:lineRule="auto"/>
              <w:ind w:left="720" w:hanging="720"/>
            </w:pPr>
            <w:r w:rsidRPr="00C60246">
              <w:t xml:space="preserve">Leonard, D. (2002). </w:t>
            </w:r>
            <w:r w:rsidRPr="00C60246">
              <w:rPr>
                <w:i/>
                <w:iCs/>
              </w:rPr>
              <w:t>Guide to the European Union</w:t>
            </w:r>
            <w:r w:rsidRPr="00C60246">
              <w:t xml:space="preserve"> (Eight). The Economist.</w:t>
            </w:r>
          </w:p>
          <w:p w14:paraId="61F0FF69" w14:textId="77777777" w:rsidR="00B832A6" w:rsidRPr="00C60246" w:rsidRDefault="00B832A6" w:rsidP="00B832A6">
            <w:pPr>
              <w:pStyle w:val="Normlnywebov"/>
              <w:spacing w:before="0" w:beforeAutospacing="0" w:after="0" w:afterAutospacing="0" w:line="360" w:lineRule="auto"/>
              <w:ind w:left="720" w:hanging="720"/>
            </w:pPr>
            <w:r w:rsidRPr="00C60246">
              <w:lastRenderedPageBreak/>
              <w:t xml:space="preserve">Morina, E., &amp; Buras, P. (2023, July 3). </w:t>
            </w:r>
            <w:r w:rsidRPr="00C60246">
              <w:rPr>
                <w:i/>
                <w:iCs/>
              </w:rPr>
              <w:t>Vision 2030: Four Steps Towards the New EU Enlargement</w:t>
            </w:r>
            <w:r w:rsidRPr="00C60246">
              <w:t xml:space="preserve">. ECFR.eu. </w:t>
            </w:r>
            <w:hyperlink r:id="rId7" w:history="1">
              <w:r w:rsidRPr="00C60246">
                <w:rPr>
                  <w:rStyle w:val="Hypertextovprepojenie"/>
                </w:rPr>
                <w:t>https://ecfr.eu/article/vision-2030-four-steps-towards-the-new-eu-enlargement/</w:t>
              </w:r>
            </w:hyperlink>
          </w:p>
          <w:p w14:paraId="75835A40" w14:textId="77777777" w:rsidR="00B832A6" w:rsidRPr="00C60246" w:rsidRDefault="00B832A6" w:rsidP="00FD512F">
            <w:pPr>
              <w:pStyle w:val="Normlnywebov"/>
              <w:spacing w:before="0" w:beforeAutospacing="0" w:after="0" w:afterAutospacing="0" w:line="360" w:lineRule="auto"/>
              <w:ind w:left="720" w:hanging="720"/>
            </w:pPr>
            <w:r w:rsidRPr="00C60246">
              <w:t xml:space="preserve">Moussis, N. (2004). </w:t>
            </w:r>
            <w:r w:rsidRPr="00C60246">
              <w:rPr>
                <w:i/>
                <w:iCs/>
              </w:rPr>
              <w:t>Access to the European Union. Law, Economics, Policies</w:t>
            </w:r>
            <w:r w:rsidRPr="00C60246">
              <w:t xml:space="preserve"> (13th ed.). European Study Service.</w:t>
            </w:r>
          </w:p>
          <w:p w14:paraId="4B2A33CC" w14:textId="77777777" w:rsidR="00B832A6" w:rsidRPr="00C60246" w:rsidRDefault="00B832A6" w:rsidP="00FD512F">
            <w:pPr>
              <w:pStyle w:val="Normlnywebov"/>
              <w:spacing w:before="0" w:beforeAutospacing="0" w:after="0" w:afterAutospacing="0" w:line="360" w:lineRule="auto"/>
              <w:ind w:left="720" w:hanging="720"/>
            </w:pPr>
            <w:r w:rsidRPr="00C60246">
              <w:t xml:space="preserve">Shaw, J., Magnette, P., Hoffmann, L., &amp; Vergés Bausili, A. (2003). </w:t>
            </w:r>
            <w:r w:rsidRPr="00C60246">
              <w:rPr>
                <w:i/>
                <w:iCs/>
              </w:rPr>
              <w:t>The Convention on the Future of Europe: Working Towards an EU Constitution</w:t>
            </w:r>
            <w:r w:rsidRPr="00C60246">
              <w:t>. The Federal Trust for Education and Research.</w:t>
            </w:r>
          </w:p>
          <w:p w14:paraId="2D11FE57" w14:textId="77777777" w:rsidR="00B832A6" w:rsidRPr="00C60246" w:rsidRDefault="00B832A6" w:rsidP="00B832A6">
            <w:pPr>
              <w:pStyle w:val="Normlnywebov"/>
              <w:spacing w:before="0" w:beforeAutospacing="0" w:after="0" w:afterAutospacing="0" w:line="360" w:lineRule="auto"/>
              <w:ind w:left="720" w:hanging="720"/>
            </w:pPr>
            <w:r w:rsidRPr="00C60246">
              <w:t xml:space="preserve">Tiryaki, S. (2006). The Debate on the EU Prospect of Turkey. In P. Kaźmierkiewicz (Ed.), </w:t>
            </w:r>
            <w:r w:rsidRPr="00C60246">
              <w:rPr>
                <w:i/>
                <w:iCs/>
              </w:rPr>
              <w:t>EU Accession Prospects for Turkey and Ukraine</w:t>
            </w:r>
            <w:r w:rsidRPr="00C60246">
              <w:t>. Institute of Public Affairs.</w:t>
            </w:r>
          </w:p>
          <w:p w14:paraId="04B7D3DD" w14:textId="4E6B42A0" w:rsidR="00E17CE3" w:rsidRPr="00C60246" w:rsidRDefault="00B832A6" w:rsidP="00B832A6">
            <w:pPr>
              <w:pStyle w:val="Normlnywebov"/>
              <w:spacing w:before="0" w:beforeAutospacing="0" w:after="0" w:afterAutospacing="0" w:line="360" w:lineRule="auto"/>
              <w:ind w:left="720" w:hanging="720"/>
            </w:pPr>
            <w:r w:rsidRPr="00C60246">
              <w:t xml:space="preserve">Wilson, K., &amp; van der Dussen, J. (Eds.). (1995). </w:t>
            </w:r>
            <w:r w:rsidRPr="00C60246">
              <w:rPr>
                <w:i/>
                <w:iCs/>
              </w:rPr>
              <w:t>The History of the Idea of Europe</w:t>
            </w:r>
            <w:r w:rsidRPr="00C60246">
              <w:t>. Routledge.</w:t>
            </w:r>
          </w:p>
        </w:tc>
      </w:tr>
      <w:tr w:rsidR="008A34EB" w:rsidRPr="00C60246" w14:paraId="5403F466" w14:textId="77777777" w:rsidTr="00B06D3E">
        <w:tc>
          <w:tcPr>
            <w:tcW w:w="9322" w:type="dxa"/>
            <w:gridSpan w:val="2"/>
          </w:tcPr>
          <w:p w14:paraId="1FCB4432" w14:textId="77777777" w:rsidR="008A34EB" w:rsidRPr="00C60246" w:rsidRDefault="00423923" w:rsidP="00710EED">
            <w:pPr>
              <w:jc w:val="both"/>
              <w:rPr>
                <w:lang w:val="en-GB"/>
              </w:rPr>
            </w:pPr>
            <w:r w:rsidRPr="00C60246">
              <w:rPr>
                <w:b/>
                <w:lang w:val="en-GB"/>
              </w:rPr>
              <w:lastRenderedPageBreak/>
              <w:t>Language of the course</w:t>
            </w:r>
            <w:r w:rsidR="008A34EB" w:rsidRPr="00C60246">
              <w:rPr>
                <w:b/>
                <w:lang w:val="en-GB"/>
              </w:rPr>
              <w:t>:</w:t>
            </w:r>
            <w:r w:rsidR="008A34EB" w:rsidRPr="00C60246">
              <w:rPr>
                <w:lang w:val="en-GB"/>
              </w:rPr>
              <w:t xml:space="preserve"> </w:t>
            </w:r>
            <w:r w:rsidR="00520415" w:rsidRPr="00C60246">
              <w:rPr>
                <w:lang w:val="en-GB"/>
              </w:rPr>
              <w:t>English</w:t>
            </w:r>
          </w:p>
        </w:tc>
      </w:tr>
      <w:tr w:rsidR="008A34EB" w:rsidRPr="00C60246" w14:paraId="12F96B1A" w14:textId="77777777" w:rsidTr="00B06D3E">
        <w:tc>
          <w:tcPr>
            <w:tcW w:w="9322" w:type="dxa"/>
            <w:gridSpan w:val="2"/>
          </w:tcPr>
          <w:p w14:paraId="36C3DCC6" w14:textId="77777777" w:rsidR="008A34EB" w:rsidRPr="00C60246" w:rsidRDefault="00423923" w:rsidP="00710EED">
            <w:pPr>
              <w:jc w:val="both"/>
              <w:rPr>
                <w:lang w:val="en-GB"/>
              </w:rPr>
            </w:pPr>
            <w:r w:rsidRPr="00C60246">
              <w:rPr>
                <w:b/>
                <w:lang w:val="en-GB"/>
              </w:rPr>
              <w:t>Notes</w:t>
            </w:r>
            <w:r w:rsidR="008A34EB" w:rsidRPr="00C60246">
              <w:rPr>
                <w:b/>
                <w:lang w:val="en-GB"/>
              </w:rPr>
              <w:t>:</w:t>
            </w:r>
            <w:r w:rsidR="008A34EB" w:rsidRPr="00C60246">
              <w:rPr>
                <w:lang w:val="en-GB"/>
              </w:rPr>
              <w:t xml:space="preserve"> </w:t>
            </w:r>
          </w:p>
        </w:tc>
      </w:tr>
      <w:tr w:rsidR="008A34EB" w:rsidRPr="00C60246" w14:paraId="6B46CEC6" w14:textId="77777777" w:rsidTr="00B06D3E">
        <w:tc>
          <w:tcPr>
            <w:tcW w:w="9322" w:type="dxa"/>
            <w:gridSpan w:val="2"/>
          </w:tcPr>
          <w:p w14:paraId="058E8FC1" w14:textId="77777777" w:rsidR="008A34EB" w:rsidRPr="00C60246" w:rsidRDefault="00423923" w:rsidP="00710EED">
            <w:pPr>
              <w:jc w:val="both"/>
              <w:rPr>
                <w:b/>
                <w:lang w:val="en-GB"/>
              </w:rPr>
            </w:pPr>
            <w:r w:rsidRPr="00C60246">
              <w:rPr>
                <w:b/>
                <w:lang w:val="en-GB"/>
              </w:rPr>
              <w:t>Evaluation</w:t>
            </w:r>
          </w:p>
          <w:p w14:paraId="492D8148" w14:textId="77777777" w:rsidR="008A34EB" w:rsidRPr="00C60246" w:rsidRDefault="00423923" w:rsidP="00710EED">
            <w:pPr>
              <w:jc w:val="both"/>
              <w:rPr>
                <w:lang w:val="en-GB"/>
              </w:rPr>
            </w:pPr>
            <w:r w:rsidRPr="00C60246">
              <w:rPr>
                <w:lang w:val="en-GB"/>
              </w:rPr>
              <w:t>Total number of evaluated students</w:t>
            </w:r>
            <w:r w:rsidR="008A34EB" w:rsidRPr="00C60246">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8A34EB" w:rsidRPr="00C60246" w14:paraId="3789522A" w14:textId="77777777" w:rsidTr="00B06D3E">
              <w:tc>
                <w:tcPr>
                  <w:tcW w:w="1496" w:type="dxa"/>
                  <w:tcBorders>
                    <w:top w:val="single" w:sz="4" w:space="0" w:color="auto"/>
                    <w:left w:val="single" w:sz="4" w:space="0" w:color="auto"/>
                    <w:bottom w:val="single" w:sz="4" w:space="0" w:color="auto"/>
                    <w:right w:val="single" w:sz="4" w:space="0" w:color="auto"/>
                  </w:tcBorders>
                </w:tcPr>
                <w:p w14:paraId="71C57A66" w14:textId="77777777" w:rsidR="008A34EB" w:rsidRPr="00C60246" w:rsidRDefault="008A34EB" w:rsidP="00130CA6">
                  <w:pPr>
                    <w:jc w:val="center"/>
                    <w:rPr>
                      <w:lang w:val="en-GB"/>
                    </w:rPr>
                  </w:pPr>
                  <w:r w:rsidRPr="00C60246">
                    <w:rPr>
                      <w:lang w:val="en-GB"/>
                    </w:rPr>
                    <w:t>A</w:t>
                  </w:r>
                </w:p>
              </w:tc>
              <w:tc>
                <w:tcPr>
                  <w:tcW w:w="1497" w:type="dxa"/>
                  <w:tcBorders>
                    <w:top w:val="single" w:sz="4" w:space="0" w:color="auto"/>
                    <w:left w:val="single" w:sz="4" w:space="0" w:color="auto"/>
                    <w:bottom w:val="single" w:sz="4" w:space="0" w:color="auto"/>
                    <w:right w:val="single" w:sz="4" w:space="0" w:color="auto"/>
                  </w:tcBorders>
                </w:tcPr>
                <w:p w14:paraId="3FF593B1" w14:textId="77777777" w:rsidR="008A34EB" w:rsidRPr="00C60246" w:rsidRDefault="008A34EB" w:rsidP="00130CA6">
                  <w:pPr>
                    <w:jc w:val="center"/>
                    <w:rPr>
                      <w:lang w:val="en-GB"/>
                    </w:rPr>
                  </w:pPr>
                  <w:r w:rsidRPr="00C60246">
                    <w:rPr>
                      <w:lang w:val="en-GB"/>
                    </w:rPr>
                    <w:t>B</w:t>
                  </w:r>
                </w:p>
              </w:tc>
              <w:tc>
                <w:tcPr>
                  <w:tcW w:w="1497" w:type="dxa"/>
                  <w:tcBorders>
                    <w:top w:val="single" w:sz="4" w:space="0" w:color="auto"/>
                    <w:left w:val="single" w:sz="4" w:space="0" w:color="auto"/>
                    <w:bottom w:val="single" w:sz="4" w:space="0" w:color="auto"/>
                    <w:right w:val="single" w:sz="4" w:space="0" w:color="auto"/>
                  </w:tcBorders>
                </w:tcPr>
                <w:p w14:paraId="4B2FB1DC" w14:textId="77777777" w:rsidR="008A34EB" w:rsidRPr="00C60246" w:rsidRDefault="008A34EB" w:rsidP="00130CA6">
                  <w:pPr>
                    <w:jc w:val="center"/>
                    <w:rPr>
                      <w:lang w:val="en-GB"/>
                    </w:rPr>
                  </w:pPr>
                  <w:r w:rsidRPr="00C60246">
                    <w:rPr>
                      <w:lang w:val="en-GB"/>
                    </w:rPr>
                    <w:t>C</w:t>
                  </w:r>
                </w:p>
              </w:tc>
              <w:tc>
                <w:tcPr>
                  <w:tcW w:w="1497" w:type="dxa"/>
                  <w:tcBorders>
                    <w:top w:val="single" w:sz="4" w:space="0" w:color="auto"/>
                    <w:left w:val="single" w:sz="4" w:space="0" w:color="auto"/>
                    <w:bottom w:val="single" w:sz="4" w:space="0" w:color="auto"/>
                    <w:right w:val="single" w:sz="4" w:space="0" w:color="auto"/>
                  </w:tcBorders>
                </w:tcPr>
                <w:p w14:paraId="7FC7267A" w14:textId="77777777" w:rsidR="008A34EB" w:rsidRPr="00C60246" w:rsidRDefault="008A34EB" w:rsidP="00130CA6">
                  <w:pPr>
                    <w:jc w:val="center"/>
                    <w:rPr>
                      <w:lang w:val="en-GB"/>
                    </w:rPr>
                  </w:pPr>
                  <w:r w:rsidRPr="00C60246">
                    <w:rPr>
                      <w:lang w:val="en-GB"/>
                    </w:rPr>
                    <w:t>D</w:t>
                  </w:r>
                </w:p>
              </w:tc>
              <w:tc>
                <w:tcPr>
                  <w:tcW w:w="1497" w:type="dxa"/>
                  <w:tcBorders>
                    <w:top w:val="single" w:sz="4" w:space="0" w:color="auto"/>
                    <w:left w:val="single" w:sz="4" w:space="0" w:color="auto"/>
                    <w:bottom w:val="single" w:sz="4" w:space="0" w:color="auto"/>
                    <w:right w:val="single" w:sz="4" w:space="0" w:color="auto"/>
                  </w:tcBorders>
                </w:tcPr>
                <w:p w14:paraId="161C0332" w14:textId="77777777" w:rsidR="008A34EB" w:rsidRPr="00C60246" w:rsidRDefault="008A34EB" w:rsidP="00130CA6">
                  <w:pPr>
                    <w:jc w:val="center"/>
                    <w:rPr>
                      <w:lang w:val="en-GB"/>
                    </w:rPr>
                  </w:pPr>
                  <w:r w:rsidRPr="00C60246">
                    <w:rPr>
                      <w:lang w:val="en-GB"/>
                    </w:rPr>
                    <w:t>E</w:t>
                  </w:r>
                </w:p>
              </w:tc>
              <w:tc>
                <w:tcPr>
                  <w:tcW w:w="1497" w:type="dxa"/>
                  <w:tcBorders>
                    <w:top w:val="single" w:sz="4" w:space="0" w:color="auto"/>
                    <w:left w:val="single" w:sz="4" w:space="0" w:color="auto"/>
                    <w:bottom w:val="single" w:sz="4" w:space="0" w:color="auto"/>
                    <w:right w:val="single" w:sz="4" w:space="0" w:color="auto"/>
                  </w:tcBorders>
                </w:tcPr>
                <w:p w14:paraId="4BB345CB" w14:textId="77777777" w:rsidR="008A34EB" w:rsidRPr="00C60246" w:rsidRDefault="008A34EB" w:rsidP="00130CA6">
                  <w:pPr>
                    <w:jc w:val="center"/>
                    <w:rPr>
                      <w:lang w:val="en-GB"/>
                    </w:rPr>
                  </w:pPr>
                  <w:r w:rsidRPr="00C60246">
                    <w:rPr>
                      <w:lang w:val="en-GB"/>
                    </w:rPr>
                    <w:t>FX</w:t>
                  </w:r>
                </w:p>
              </w:tc>
            </w:tr>
            <w:tr w:rsidR="00423923" w:rsidRPr="00C60246" w14:paraId="519C0773" w14:textId="77777777" w:rsidTr="00B06D3E">
              <w:tc>
                <w:tcPr>
                  <w:tcW w:w="1496" w:type="dxa"/>
                  <w:tcBorders>
                    <w:top w:val="single" w:sz="4" w:space="0" w:color="auto"/>
                    <w:left w:val="single" w:sz="4" w:space="0" w:color="auto"/>
                    <w:bottom w:val="single" w:sz="4" w:space="0" w:color="auto"/>
                    <w:right w:val="single" w:sz="4" w:space="0" w:color="auto"/>
                  </w:tcBorders>
                </w:tcPr>
                <w:p w14:paraId="2A21F1CC" w14:textId="77777777" w:rsidR="00423923" w:rsidRPr="00C60246" w:rsidRDefault="00423923" w:rsidP="00423923">
                  <w:pPr>
                    <w:tabs>
                      <w:tab w:val="left" w:pos="540"/>
                      <w:tab w:val="center" w:pos="640"/>
                    </w:tabs>
                    <w:jc w:val="center"/>
                    <w:rPr>
                      <w:lang w:val="en-GB"/>
                    </w:rPr>
                  </w:pPr>
                  <w:r w:rsidRPr="00C60246">
                    <w:rPr>
                      <w:lang w:val="en-GB"/>
                    </w:rPr>
                    <w:t>(percentage of students who got A)</w:t>
                  </w:r>
                </w:p>
              </w:tc>
              <w:tc>
                <w:tcPr>
                  <w:tcW w:w="1497" w:type="dxa"/>
                  <w:tcBorders>
                    <w:top w:val="single" w:sz="4" w:space="0" w:color="auto"/>
                    <w:left w:val="single" w:sz="4" w:space="0" w:color="auto"/>
                    <w:bottom w:val="single" w:sz="4" w:space="0" w:color="auto"/>
                    <w:right w:val="single" w:sz="4" w:space="0" w:color="auto"/>
                  </w:tcBorders>
                </w:tcPr>
                <w:p w14:paraId="7345DF18" w14:textId="77777777" w:rsidR="00423923" w:rsidRPr="00C60246" w:rsidRDefault="00423923" w:rsidP="00423923">
                  <w:pPr>
                    <w:jc w:val="center"/>
                    <w:rPr>
                      <w:lang w:val="en-GB"/>
                    </w:rPr>
                  </w:pPr>
                  <w:r w:rsidRPr="00C60246">
                    <w:rPr>
                      <w:lang w:val="en-GB"/>
                    </w:rPr>
                    <w:t>(percentage of students who got B)</w:t>
                  </w:r>
                </w:p>
              </w:tc>
              <w:tc>
                <w:tcPr>
                  <w:tcW w:w="1497" w:type="dxa"/>
                  <w:tcBorders>
                    <w:top w:val="single" w:sz="4" w:space="0" w:color="auto"/>
                    <w:left w:val="single" w:sz="4" w:space="0" w:color="auto"/>
                    <w:bottom w:val="single" w:sz="4" w:space="0" w:color="auto"/>
                    <w:right w:val="single" w:sz="4" w:space="0" w:color="auto"/>
                  </w:tcBorders>
                </w:tcPr>
                <w:p w14:paraId="5A8CA091" w14:textId="77777777" w:rsidR="00423923" w:rsidRPr="00C60246" w:rsidRDefault="00423923" w:rsidP="00423923">
                  <w:pPr>
                    <w:jc w:val="center"/>
                    <w:rPr>
                      <w:lang w:val="en-GB"/>
                    </w:rPr>
                  </w:pPr>
                  <w:r w:rsidRPr="00C60246">
                    <w:rPr>
                      <w:lang w:val="en-GB"/>
                    </w:rPr>
                    <w:t>(percentage of students who got C)</w:t>
                  </w:r>
                </w:p>
              </w:tc>
              <w:tc>
                <w:tcPr>
                  <w:tcW w:w="1497" w:type="dxa"/>
                  <w:tcBorders>
                    <w:top w:val="single" w:sz="4" w:space="0" w:color="auto"/>
                    <w:left w:val="single" w:sz="4" w:space="0" w:color="auto"/>
                    <w:bottom w:val="single" w:sz="4" w:space="0" w:color="auto"/>
                    <w:right w:val="single" w:sz="4" w:space="0" w:color="auto"/>
                  </w:tcBorders>
                </w:tcPr>
                <w:p w14:paraId="5FF8B676" w14:textId="77777777" w:rsidR="00423923" w:rsidRPr="00C60246" w:rsidRDefault="00423923" w:rsidP="00423923">
                  <w:pPr>
                    <w:jc w:val="center"/>
                    <w:rPr>
                      <w:lang w:val="en-GB"/>
                    </w:rPr>
                  </w:pPr>
                  <w:r w:rsidRPr="00C60246">
                    <w:rPr>
                      <w:lang w:val="en-GB"/>
                    </w:rPr>
                    <w:t>(percentage of students who got D)</w:t>
                  </w:r>
                </w:p>
              </w:tc>
              <w:tc>
                <w:tcPr>
                  <w:tcW w:w="1497" w:type="dxa"/>
                  <w:tcBorders>
                    <w:top w:val="single" w:sz="4" w:space="0" w:color="auto"/>
                    <w:left w:val="single" w:sz="4" w:space="0" w:color="auto"/>
                    <w:bottom w:val="single" w:sz="4" w:space="0" w:color="auto"/>
                    <w:right w:val="single" w:sz="4" w:space="0" w:color="auto"/>
                  </w:tcBorders>
                </w:tcPr>
                <w:p w14:paraId="637CBA43" w14:textId="77777777" w:rsidR="00423923" w:rsidRPr="00C60246" w:rsidRDefault="00423923" w:rsidP="00423923">
                  <w:pPr>
                    <w:jc w:val="center"/>
                    <w:rPr>
                      <w:lang w:val="en-GB"/>
                    </w:rPr>
                  </w:pPr>
                  <w:r w:rsidRPr="00C60246">
                    <w:rPr>
                      <w:lang w:val="en-GB"/>
                    </w:rPr>
                    <w:t>(percentage of students who got E)</w:t>
                  </w:r>
                </w:p>
              </w:tc>
              <w:tc>
                <w:tcPr>
                  <w:tcW w:w="1497" w:type="dxa"/>
                  <w:tcBorders>
                    <w:top w:val="single" w:sz="4" w:space="0" w:color="auto"/>
                    <w:left w:val="single" w:sz="4" w:space="0" w:color="auto"/>
                    <w:bottom w:val="single" w:sz="4" w:space="0" w:color="auto"/>
                    <w:right w:val="single" w:sz="4" w:space="0" w:color="auto"/>
                  </w:tcBorders>
                </w:tcPr>
                <w:p w14:paraId="43027DAC" w14:textId="77777777" w:rsidR="00423923" w:rsidRPr="00C60246" w:rsidRDefault="00423923" w:rsidP="00423923">
                  <w:pPr>
                    <w:jc w:val="center"/>
                    <w:rPr>
                      <w:lang w:val="en-GB"/>
                    </w:rPr>
                  </w:pPr>
                  <w:r w:rsidRPr="00C60246">
                    <w:rPr>
                      <w:lang w:val="en-GB"/>
                    </w:rPr>
                    <w:t>(percentage of students who got FX)</w:t>
                  </w:r>
                </w:p>
              </w:tc>
            </w:tr>
          </w:tbl>
          <w:p w14:paraId="69D6AA0E" w14:textId="77777777" w:rsidR="008A34EB" w:rsidRPr="00C60246" w:rsidRDefault="008A34EB" w:rsidP="00710EED">
            <w:pPr>
              <w:jc w:val="both"/>
              <w:rPr>
                <w:lang w:val="en-GB"/>
              </w:rPr>
            </w:pPr>
          </w:p>
        </w:tc>
      </w:tr>
      <w:tr w:rsidR="00130CA6" w:rsidRPr="00C60246" w14:paraId="7EA3484E" w14:textId="77777777" w:rsidTr="00B06D3E">
        <w:tc>
          <w:tcPr>
            <w:tcW w:w="9322" w:type="dxa"/>
            <w:gridSpan w:val="2"/>
          </w:tcPr>
          <w:p w14:paraId="16776D28" w14:textId="77777777" w:rsidR="00130CA6" w:rsidRPr="00C60246" w:rsidRDefault="00423923" w:rsidP="00130CA6">
            <w:pPr>
              <w:tabs>
                <w:tab w:val="left" w:pos="1530"/>
              </w:tabs>
              <w:jc w:val="both"/>
              <w:rPr>
                <w:lang w:val="en-GB"/>
              </w:rPr>
            </w:pPr>
            <w:r w:rsidRPr="00C60246">
              <w:rPr>
                <w:b/>
                <w:lang w:val="en-GB"/>
              </w:rPr>
              <w:t>Instructor</w:t>
            </w:r>
            <w:r w:rsidR="00130CA6" w:rsidRPr="00C60246">
              <w:rPr>
                <w:b/>
                <w:lang w:val="en-GB"/>
              </w:rPr>
              <w:t>:</w:t>
            </w:r>
            <w:r w:rsidR="00130CA6" w:rsidRPr="00C60246">
              <w:rPr>
                <w:lang w:val="en-GB"/>
              </w:rPr>
              <w:t xml:space="preserve"> </w:t>
            </w:r>
            <w:r w:rsidR="009960C0" w:rsidRPr="00C60246">
              <w:rPr>
                <w:lang w:val="en-GB"/>
              </w:rPr>
              <w:t>JUDr. Sylvia Tiryaki, PhD.</w:t>
            </w:r>
          </w:p>
        </w:tc>
      </w:tr>
      <w:tr w:rsidR="00130CA6" w:rsidRPr="00C60246" w14:paraId="51020788" w14:textId="77777777" w:rsidTr="00B06D3E">
        <w:tc>
          <w:tcPr>
            <w:tcW w:w="9322" w:type="dxa"/>
            <w:gridSpan w:val="2"/>
          </w:tcPr>
          <w:p w14:paraId="5919E20E" w14:textId="6C74524B" w:rsidR="00130CA6" w:rsidRPr="00C60246" w:rsidRDefault="00423923" w:rsidP="00130CA6">
            <w:pPr>
              <w:tabs>
                <w:tab w:val="left" w:pos="1530"/>
              </w:tabs>
              <w:jc w:val="both"/>
              <w:rPr>
                <w:lang w:val="en-GB"/>
              </w:rPr>
            </w:pPr>
            <w:r w:rsidRPr="00C60246">
              <w:rPr>
                <w:b/>
                <w:lang w:val="en-GB"/>
              </w:rPr>
              <w:t>Date of the last change</w:t>
            </w:r>
            <w:r w:rsidR="00130CA6" w:rsidRPr="00C60246">
              <w:rPr>
                <w:b/>
                <w:lang w:val="en-GB"/>
              </w:rPr>
              <w:t>:</w:t>
            </w:r>
            <w:r w:rsidR="00130CA6" w:rsidRPr="00C60246">
              <w:rPr>
                <w:lang w:val="en-GB"/>
              </w:rPr>
              <w:t xml:space="preserve"> </w:t>
            </w:r>
            <w:r w:rsidR="00B6242D" w:rsidRPr="00C60246">
              <w:rPr>
                <w:lang w:val="en-GB"/>
              </w:rPr>
              <w:t>28</w:t>
            </w:r>
            <w:r w:rsidR="000022C4" w:rsidRPr="00C60246">
              <w:rPr>
                <w:lang w:val="en-GB"/>
              </w:rPr>
              <w:t>.1.202</w:t>
            </w:r>
            <w:r w:rsidR="00B6242D" w:rsidRPr="00C60246">
              <w:rPr>
                <w:lang w:val="en-GB"/>
              </w:rPr>
              <w:t>5</w:t>
            </w:r>
          </w:p>
        </w:tc>
      </w:tr>
      <w:tr w:rsidR="00130CA6" w:rsidRPr="00C60246" w14:paraId="3600E3D4" w14:textId="77777777" w:rsidTr="00381918">
        <w:tc>
          <w:tcPr>
            <w:tcW w:w="9322" w:type="dxa"/>
            <w:gridSpan w:val="2"/>
            <w:shd w:val="clear" w:color="auto" w:fill="auto"/>
          </w:tcPr>
          <w:p w14:paraId="55E7BB14" w14:textId="4AF70AAF" w:rsidR="00130CA6" w:rsidRPr="00C60246" w:rsidRDefault="00423923" w:rsidP="00130CA6">
            <w:pPr>
              <w:tabs>
                <w:tab w:val="left" w:pos="1530"/>
              </w:tabs>
              <w:jc w:val="both"/>
              <w:rPr>
                <w:lang w:val="en-GB"/>
              </w:rPr>
            </w:pPr>
            <w:r w:rsidRPr="00C60246">
              <w:rPr>
                <w:b/>
                <w:lang w:val="en-GB"/>
              </w:rPr>
              <w:t>Approved</w:t>
            </w:r>
            <w:r w:rsidR="00130CA6" w:rsidRPr="00C60246">
              <w:rPr>
                <w:b/>
                <w:lang w:val="en-GB"/>
              </w:rPr>
              <w:t>:</w:t>
            </w:r>
            <w:r w:rsidR="00130CA6" w:rsidRPr="00C60246">
              <w:rPr>
                <w:lang w:val="en-GB"/>
              </w:rPr>
              <w:t xml:space="preserve"> </w:t>
            </w:r>
            <w:r w:rsidR="00903A0F">
              <w:rPr>
                <w:shd w:val="clear" w:color="auto" w:fill="FFFFFF"/>
                <w:lang w:val="en-GB"/>
              </w:rPr>
              <w:t>doc. Samuel Abrahám, PhD.</w:t>
            </w:r>
          </w:p>
        </w:tc>
      </w:tr>
    </w:tbl>
    <w:p w14:paraId="5B3115A1" w14:textId="77777777" w:rsidR="00176E5C" w:rsidRPr="00C60246" w:rsidRDefault="00176E5C" w:rsidP="00710EED">
      <w:pPr>
        <w:jc w:val="both"/>
        <w:rPr>
          <w:lang w:val="en-GB"/>
        </w:rPr>
      </w:pPr>
    </w:p>
    <w:sectPr w:rsidR="00176E5C" w:rsidRPr="00C60246" w:rsidSect="00013CE4">
      <w:headerReference w:type="default" r:id="rId8"/>
      <w:footerReference w:type="default" r:id="rId9"/>
      <w:headerReference w:type="first" r:id="rId10"/>
      <w:footerReference w:type="first" r:id="rId11"/>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96089" w14:textId="77777777" w:rsidR="00F32AE2" w:rsidRDefault="00F32AE2" w:rsidP="00524AED">
      <w:r>
        <w:separator/>
      </w:r>
    </w:p>
  </w:endnote>
  <w:endnote w:type="continuationSeparator" w:id="0">
    <w:p w14:paraId="669646BC" w14:textId="77777777" w:rsidR="00F32AE2" w:rsidRDefault="00F32AE2" w:rsidP="0052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FreeSans">
    <w:charset w:val="01"/>
    <w:family w:val="auto"/>
    <w:pitch w:val="variable"/>
    <w:sig w:usb0="00000001"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282F" w14:textId="77777777" w:rsidR="00524AED" w:rsidRDefault="00524AED">
    <w:pPr>
      <w:pStyle w:val="Pta"/>
      <w:jc w:val="right"/>
    </w:pPr>
    <w:r>
      <w:fldChar w:fldCharType="begin"/>
    </w:r>
    <w:r>
      <w:instrText>PAGE   \* MERGEFORMAT</w:instrText>
    </w:r>
    <w:r>
      <w:fldChar w:fldCharType="separate"/>
    </w:r>
    <w:r w:rsidR="005E7BCE">
      <w:rPr>
        <w:noProof/>
      </w:rPr>
      <w:t>2</w:t>
    </w:r>
    <w:r>
      <w:fldChar w:fldCharType="end"/>
    </w:r>
  </w:p>
  <w:p w14:paraId="44349A65" w14:textId="77777777" w:rsidR="00524AED" w:rsidRDefault="00524AE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F496" w14:textId="77777777" w:rsidR="00524AED" w:rsidRDefault="00524AED">
    <w:pPr>
      <w:pStyle w:val="Pta"/>
      <w:jc w:val="right"/>
    </w:pPr>
    <w:r>
      <w:fldChar w:fldCharType="begin"/>
    </w:r>
    <w:r>
      <w:instrText>PAGE   \* MERGEFORMAT</w:instrText>
    </w:r>
    <w:r>
      <w:fldChar w:fldCharType="separate"/>
    </w:r>
    <w:r w:rsidR="005E7BCE">
      <w:rPr>
        <w:noProof/>
      </w:rPr>
      <w:t>1</w:t>
    </w:r>
    <w:r>
      <w:fldChar w:fldCharType="end"/>
    </w:r>
  </w:p>
  <w:p w14:paraId="6201EEAA" w14:textId="77777777" w:rsidR="00524AED" w:rsidRDefault="00524A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25BFE" w14:textId="77777777" w:rsidR="00F32AE2" w:rsidRDefault="00F32AE2" w:rsidP="00524AED">
      <w:r>
        <w:separator/>
      </w:r>
    </w:p>
  </w:footnote>
  <w:footnote w:type="continuationSeparator" w:id="0">
    <w:p w14:paraId="07750B09" w14:textId="77777777" w:rsidR="00F32AE2" w:rsidRDefault="00F32AE2" w:rsidP="0052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27FF" w14:textId="77777777" w:rsidR="00524AED" w:rsidRDefault="00524AED">
    <w:pPr>
      <w:pStyle w:val="Hlavika"/>
    </w:pPr>
  </w:p>
  <w:p w14:paraId="70325D57" w14:textId="77777777" w:rsidR="00524AED" w:rsidRDefault="00524AE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7A5F9" w14:textId="77777777" w:rsidR="00524AED" w:rsidRPr="00524AED" w:rsidRDefault="00524AED" w:rsidP="00524AED">
    <w:pPr>
      <w:widowControl w:val="0"/>
      <w:autoSpaceDE w:val="0"/>
      <w:autoSpaceDN w:val="0"/>
      <w:adjustRightInd w:val="0"/>
      <w:jc w:val="right"/>
      <w:rPr>
        <w:rFonts w:ascii="Arial" w:hAnsi="Arial" w:cs="Arial"/>
        <w:b/>
        <w:bCs/>
        <w:i/>
        <w:sz w:val="16"/>
        <w:szCs w:val="16"/>
      </w:rPr>
    </w:pPr>
    <w:r>
      <w:rPr>
        <w:rFonts w:ascii="Arial" w:hAnsi="Arial" w:cs="Arial"/>
        <w:b/>
        <w:bCs/>
        <w:i/>
        <w:sz w:val="16"/>
        <w:szCs w:val="16"/>
      </w:rPr>
      <w:t>Príloha č. 1 k v</w:t>
    </w:r>
    <w:r w:rsidRPr="00524AED">
      <w:rPr>
        <w:rFonts w:ascii="Arial" w:hAnsi="Arial" w:cs="Arial"/>
        <w:b/>
        <w:bCs/>
        <w:i/>
        <w:sz w:val="16"/>
        <w:szCs w:val="16"/>
      </w:rPr>
      <w:t>yhlášk</w:t>
    </w:r>
    <w:r>
      <w:rPr>
        <w:rFonts w:ascii="Arial" w:hAnsi="Arial" w:cs="Arial"/>
        <w:b/>
        <w:bCs/>
        <w:i/>
        <w:sz w:val="16"/>
        <w:szCs w:val="16"/>
      </w:rPr>
      <w:t xml:space="preserve">e </w:t>
    </w:r>
    <w:r w:rsidRPr="00524AED">
      <w:rPr>
        <w:rFonts w:ascii="Arial" w:hAnsi="Arial" w:cs="Arial"/>
        <w:b/>
        <w:bCs/>
        <w:i/>
        <w:sz w:val="16"/>
        <w:szCs w:val="16"/>
      </w:rPr>
      <w:t xml:space="preserve">MŠVVaŠ SR č. 155/2013 Z. z., ktorou sa mení a dopĺňa vyhláška MŠVVaŠ SR č. </w:t>
    </w:r>
    <w:hyperlink r:id="rId1" w:history="1">
      <w:r w:rsidRPr="00524AED">
        <w:rPr>
          <w:rFonts w:ascii="Arial" w:hAnsi="Arial" w:cs="Arial"/>
          <w:b/>
          <w:bCs/>
          <w:i/>
          <w:sz w:val="16"/>
          <w:szCs w:val="16"/>
        </w:rPr>
        <w:t>614/2002 Z. z.</w:t>
      </w:r>
    </w:hyperlink>
  </w:p>
  <w:p w14:paraId="0BA72B09" w14:textId="77777777" w:rsidR="00524AED" w:rsidRPr="00524AED" w:rsidRDefault="00524AED" w:rsidP="00524AED">
    <w:pPr>
      <w:widowControl w:val="0"/>
      <w:autoSpaceDE w:val="0"/>
      <w:autoSpaceDN w:val="0"/>
      <w:adjustRightInd w:val="0"/>
      <w:jc w:val="right"/>
      <w:rPr>
        <w:rFonts w:ascii="Arial" w:hAnsi="Arial" w:cs="Arial"/>
        <w:b/>
        <w:bCs/>
        <w:i/>
        <w:sz w:val="16"/>
        <w:szCs w:val="16"/>
      </w:rPr>
    </w:pPr>
    <w:r>
      <w:rPr>
        <w:rFonts w:ascii="Arial" w:hAnsi="Arial" w:cs="Arial"/>
        <w:b/>
        <w:bCs/>
        <w:i/>
        <w:sz w:val="16"/>
        <w:szCs w:val="16"/>
      </w:rPr>
      <w:t>o kreditovom systéme štúdia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4A33"/>
    <w:multiLevelType w:val="hybridMultilevel"/>
    <w:tmpl w:val="CC9AB628"/>
    <w:lvl w:ilvl="0" w:tplc="8E54CF16">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A085E"/>
    <w:multiLevelType w:val="hybridMultilevel"/>
    <w:tmpl w:val="F834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500675">
    <w:abstractNumId w:val="0"/>
  </w:num>
  <w:num w:numId="2" w16cid:durableId="1256553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MTM2NTS0tDA1NDZV0lEKTi0uzszPAykwqQUAwTzoVSwAAAA="/>
  </w:docVars>
  <w:rsids>
    <w:rsidRoot w:val="008A34EB"/>
    <w:rsid w:val="000022C4"/>
    <w:rsid w:val="00013CE4"/>
    <w:rsid w:val="00032C42"/>
    <w:rsid w:val="0004409E"/>
    <w:rsid w:val="00054605"/>
    <w:rsid w:val="00063F4F"/>
    <w:rsid w:val="00075846"/>
    <w:rsid w:val="00090F5F"/>
    <w:rsid w:val="000A3621"/>
    <w:rsid w:val="000C7227"/>
    <w:rsid w:val="000E3018"/>
    <w:rsid w:val="000E6A5A"/>
    <w:rsid w:val="00130CA6"/>
    <w:rsid w:val="001312D6"/>
    <w:rsid w:val="001436E2"/>
    <w:rsid w:val="00145B62"/>
    <w:rsid w:val="001647A0"/>
    <w:rsid w:val="00176E5C"/>
    <w:rsid w:val="00192D74"/>
    <w:rsid w:val="001A61C1"/>
    <w:rsid w:val="001B419F"/>
    <w:rsid w:val="001D3BE9"/>
    <w:rsid w:val="001E03FC"/>
    <w:rsid w:val="001F0BF7"/>
    <w:rsid w:val="00222F57"/>
    <w:rsid w:val="00226F66"/>
    <w:rsid w:val="002523B6"/>
    <w:rsid w:val="002702BD"/>
    <w:rsid w:val="002A5BF1"/>
    <w:rsid w:val="002B264E"/>
    <w:rsid w:val="002C553C"/>
    <w:rsid w:val="002D6DBB"/>
    <w:rsid w:val="003122C8"/>
    <w:rsid w:val="00376102"/>
    <w:rsid w:val="00381918"/>
    <w:rsid w:val="00390B26"/>
    <w:rsid w:val="003A0A60"/>
    <w:rsid w:val="003C4515"/>
    <w:rsid w:val="003D0B90"/>
    <w:rsid w:val="003D3D39"/>
    <w:rsid w:val="003E24FD"/>
    <w:rsid w:val="003E718C"/>
    <w:rsid w:val="003F438A"/>
    <w:rsid w:val="003F7BFD"/>
    <w:rsid w:val="00423923"/>
    <w:rsid w:val="004269F5"/>
    <w:rsid w:val="004919E8"/>
    <w:rsid w:val="00493A75"/>
    <w:rsid w:val="004B1B82"/>
    <w:rsid w:val="00511A73"/>
    <w:rsid w:val="00520415"/>
    <w:rsid w:val="00524AED"/>
    <w:rsid w:val="0054628C"/>
    <w:rsid w:val="00586312"/>
    <w:rsid w:val="005875A4"/>
    <w:rsid w:val="00593A18"/>
    <w:rsid w:val="005A5D4C"/>
    <w:rsid w:val="005D38CD"/>
    <w:rsid w:val="005D51C7"/>
    <w:rsid w:val="005D6284"/>
    <w:rsid w:val="005E7BCE"/>
    <w:rsid w:val="00610BD5"/>
    <w:rsid w:val="00624A3C"/>
    <w:rsid w:val="00627C77"/>
    <w:rsid w:val="0063392F"/>
    <w:rsid w:val="00680ECA"/>
    <w:rsid w:val="006A74A5"/>
    <w:rsid w:val="006C1AA3"/>
    <w:rsid w:val="006C5BD1"/>
    <w:rsid w:val="006D35A6"/>
    <w:rsid w:val="006F681F"/>
    <w:rsid w:val="00710EED"/>
    <w:rsid w:val="0074026C"/>
    <w:rsid w:val="007B3B68"/>
    <w:rsid w:val="007C03CB"/>
    <w:rsid w:val="007C3A44"/>
    <w:rsid w:val="007F2741"/>
    <w:rsid w:val="00821882"/>
    <w:rsid w:val="008478E1"/>
    <w:rsid w:val="00862EA3"/>
    <w:rsid w:val="00865835"/>
    <w:rsid w:val="00883335"/>
    <w:rsid w:val="008A34EB"/>
    <w:rsid w:val="008A7A10"/>
    <w:rsid w:val="008C3BCE"/>
    <w:rsid w:val="008F3263"/>
    <w:rsid w:val="008F47B5"/>
    <w:rsid w:val="00903A0F"/>
    <w:rsid w:val="00920411"/>
    <w:rsid w:val="009445DC"/>
    <w:rsid w:val="00957A6A"/>
    <w:rsid w:val="00965F74"/>
    <w:rsid w:val="00986CCB"/>
    <w:rsid w:val="009871C8"/>
    <w:rsid w:val="00993E1C"/>
    <w:rsid w:val="009960C0"/>
    <w:rsid w:val="009A11F8"/>
    <w:rsid w:val="009F7878"/>
    <w:rsid w:val="00A44857"/>
    <w:rsid w:val="00A65AB0"/>
    <w:rsid w:val="00AA6886"/>
    <w:rsid w:val="00AB4E49"/>
    <w:rsid w:val="00AC76D3"/>
    <w:rsid w:val="00B06D3E"/>
    <w:rsid w:val="00B4186C"/>
    <w:rsid w:val="00B44CAC"/>
    <w:rsid w:val="00B6242D"/>
    <w:rsid w:val="00B64928"/>
    <w:rsid w:val="00B66FCA"/>
    <w:rsid w:val="00B832A6"/>
    <w:rsid w:val="00BA3B44"/>
    <w:rsid w:val="00BB7CCC"/>
    <w:rsid w:val="00BE2642"/>
    <w:rsid w:val="00BE4881"/>
    <w:rsid w:val="00C501D2"/>
    <w:rsid w:val="00C60246"/>
    <w:rsid w:val="00C635A2"/>
    <w:rsid w:val="00C7727A"/>
    <w:rsid w:val="00C967D9"/>
    <w:rsid w:val="00CA278E"/>
    <w:rsid w:val="00CA44F0"/>
    <w:rsid w:val="00CB54D5"/>
    <w:rsid w:val="00CF43FE"/>
    <w:rsid w:val="00D014BC"/>
    <w:rsid w:val="00D3222E"/>
    <w:rsid w:val="00D648A0"/>
    <w:rsid w:val="00D72B31"/>
    <w:rsid w:val="00D76996"/>
    <w:rsid w:val="00DA1884"/>
    <w:rsid w:val="00DB15F5"/>
    <w:rsid w:val="00DC6693"/>
    <w:rsid w:val="00DD5A88"/>
    <w:rsid w:val="00E17CE3"/>
    <w:rsid w:val="00E31F2F"/>
    <w:rsid w:val="00EC0074"/>
    <w:rsid w:val="00EC07A3"/>
    <w:rsid w:val="00ED7937"/>
    <w:rsid w:val="00EF197D"/>
    <w:rsid w:val="00F250E9"/>
    <w:rsid w:val="00F3109E"/>
    <w:rsid w:val="00F32AE2"/>
    <w:rsid w:val="00F54D7C"/>
    <w:rsid w:val="00F83486"/>
    <w:rsid w:val="00F86260"/>
    <w:rsid w:val="00F931FA"/>
    <w:rsid w:val="00FB7237"/>
    <w:rsid w:val="00FC7877"/>
    <w:rsid w:val="00FD2F76"/>
    <w:rsid w:val="00FD512F"/>
    <w:rsid w:val="00FE208E"/>
    <w:rsid w:val="00FE3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DB87E"/>
  <w15:chartTrackingRefBased/>
  <w15:docId w15:val="{79B6F95B-EA0E-6042-AB53-18245E03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34EB"/>
    <w:rPr>
      <w:rFonts w:ascii="Times New Roman" w:hAnsi="Times New Roman" w:cs="Times New Roman"/>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A34EB"/>
    <w:rPr>
      <w:rFonts w:ascii="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24AED"/>
    <w:pPr>
      <w:tabs>
        <w:tab w:val="center" w:pos="4536"/>
        <w:tab w:val="right" w:pos="9072"/>
      </w:tabs>
    </w:pPr>
    <w:rPr>
      <w:lang w:val="x-none"/>
    </w:rPr>
  </w:style>
  <w:style w:type="character" w:customStyle="1" w:styleId="HlavikaChar">
    <w:name w:val="Hlavička Char"/>
    <w:link w:val="Hlavika"/>
    <w:uiPriority w:val="99"/>
    <w:locked/>
    <w:rsid w:val="00524AED"/>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524AED"/>
    <w:rPr>
      <w:rFonts w:ascii="Tahoma" w:hAnsi="Tahoma"/>
      <w:sz w:val="16"/>
      <w:szCs w:val="16"/>
      <w:lang w:val="x-none"/>
    </w:rPr>
  </w:style>
  <w:style w:type="character" w:customStyle="1" w:styleId="TextbublinyChar">
    <w:name w:val="Text bubliny Char"/>
    <w:link w:val="Textbubliny"/>
    <w:uiPriority w:val="99"/>
    <w:semiHidden/>
    <w:locked/>
    <w:rsid w:val="00524AED"/>
    <w:rPr>
      <w:rFonts w:ascii="Tahoma" w:hAnsi="Tahoma" w:cs="Tahoma"/>
      <w:sz w:val="16"/>
      <w:szCs w:val="16"/>
      <w:lang w:val="x-none" w:eastAsia="sk-SK"/>
    </w:rPr>
  </w:style>
  <w:style w:type="paragraph" w:styleId="Pta">
    <w:name w:val="footer"/>
    <w:basedOn w:val="Normlny"/>
    <w:link w:val="PtaChar"/>
    <w:uiPriority w:val="99"/>
    <w:unhideWhenUsed/>
    <w:rsid w:val="00524AED"/>
    <w:pPr>
      <w:tabs>
        <w:tab w:val="center" w:pos="4536"/>
        <w:tab w:val="right" w:pos="9072"/>
      </w:tabs>
    </w:pPr>
    <w:rPr>
      <w:lang w:val="x-none"/>
    </w:rPr>
  </w:style>
  <w:style w:type="character" w:customStyle="1" w:styleId="PtaChar">
    <w:name w:val="Päta Char"/>
    <w:link w:val="Pta"/>
    <w:uiPriority w:val="99"/>
    <w:locked/>
    <w:rsid w:val="00524AED"/>
    <w:rPr>
      <w:rFonts w:ascii="Times New Roman" w:hAnsi="Times New Roman" w:cs="Times New Roman"/>
      <w:sz w:val="24"/>
      <w:szCs w:val="24"/>
      <w:lang w:val="x-none" w:eastAsia="sk-SK"/>
    </w:rPr>
  </w:style>
  <w:style w:type="paragraph" w:customStyle="1" w:styleId="Zoznampouitejliteratry1">
    <w:name w:val="Zoznam použitej literatúry 1"/>
    <w:basedOn w:val="Normlny"/>
    <w:rsid w:val="00CF43FE"/>
    <w:pPr>
      <w:widowControl w:val="0"/>
      <w:suppressLineNumbers/>
      <w:suppressAutoHyphens/>
      <w:spacing w:line="240" w:lineRule="atLeast"/>
      <w:ind w:left="720" w:hanging="720"/>
    </w:pPr>
    <w:rPr>
      <w:rFonts w:ascii="Liberation Serif" w:hAnsi="Liberation Serif" w:cs="FreeSans"/>
      <w:kern w:val="1"/>
      <w:lang w:val="en-US" w:eastAsia="zh-CN" w:bidi="hi-IN"/>
    </w:rPr>
  </w:style>
  <w:style w:type="paragraph" w:customStyle="1" w:styleId="Default">
    <w:name w:val="Default"/>
    <w:rsid w:val="00E31F2F"/>
    <w:pPr>
      <w:autoSpaceDE w:val="0"/>
      <w:autoSpaceDN w:val="0"/>
      <w:adjustRightInd w:val="0"/>
    </w:pPr>
    <w:rPr>
      <w:rFonts w:ascii="Garamond" w:hAnsi="Garamond" w:cs="Garamond"/>
      <w:color w:val="000000"/>
      <w:sz w:val="24"/>
      <w:szCs w:val="24"/>
      <w:lang w:val="sk-SK" w:eastAsia="sk-SK"/>
    </w:rPr>
  </w:style>
  <w:style w:type="character" w:styleId="Hypertextovprepojenie">
    <w:name w:val="Hyperlink"/>
    <w:uiPriority w:val="99"/>
    <w:unhideWhenUsed/>
    <w:rsid w:val="002523B6"/>
    <w:rPr>
      <w:color w:val="0000FF"/>
      <w:u w:val="single"/>
    </w:rPr>
  </w:style>
  <w:style w:type="paragraph" w:styleId="PredformtovanHTML">
    <w:name w:val="HTML Preformatted"/>
    <w:basedOn w:val="Normlny"/>
    <w:link w:val="PredformtovanHTMLChar"/>
    <w:uiPriority w:val="99"/>
    <w:unhideWhenUsed/>
    <w:rsid w:val="00FD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link w:val="PredformtovanHTML"/>
    <w:uiPriority w:val="99"/>
    <w:rsid w:val="00FD2F76"/>
    <w:rPr>
      <w:rFonts w:ascii="Courier New" w:hAnsi="Courier New" w:cs="Courier New"/>
    </w:rPr>
  </w:style>
  <w:style w:type="character" w:customStyle="1" w:styleId="y2iqfc">
    <w:name w:val="y2iqfc"/>
    <w:basedOn w:val="Predvolenpsmoodseku"/>
    <w:rsid w:val="00FD2F76"/>
  </w:style>
  <w:style w:type="character" w:customStyle="1" w:styleId="FontStyle58">
    <w:name w:val="Font Style58"/>
    <w:uiPriority w:val="99"/>
    <w:rsid w:val="00130CA6"/>
    <w:rPr>
      <w:rFonts w:ascii="Calibri" w:hAnsi="Calibri" w:cs="Calibri" w:hint="default"/>
      <w:color w:val="000000"/>
      <w:sz w:val="20"/>
      <w:szCs w:val="20"/>
    </w:rPr>
  </w:style>
  <w:style w:type="paragraph" w:styleId="Odsekzoznamu">
    <w:name w:val="List Paragraph"/>
    <w:basedOn w:val="Normlny"/>
    <w:uiPriority w:val="34"/>
    <w:qFormat/>
    <w:rsid w:val="00EC07A3"/>
    <w:pPr>
      <w:spacing w:after="200" w:line="276" w:lineRule="auto"/>
      <w:ind w:left="720"/>
      <w:contextualSpacing/>
    </w:pPr>
    <w:rPr>
      <w:rFonts w:eastAsia="Calibri"/>
      <w:szCs w:val="22"/>
      <w:lang w:val="en-GB" w:eastAsia="en-US"/>
    </w:rPr>
  </w:style>
  <w:style w:type="paragraph" w:styleId="Normlnywebov">
    <w:name w:val="Normal (Web)"/>
    <w:basedOn w:val="Normlny"/>
    <w:uiPriority w:val="99"/>
    <w:unhideWhenUsed/>
    <w:rsid w:val="00E17CE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29234">
      <w:bodyDiv w:val="1"/>
      <w:marLeft w:val="0"/>
      <w:marRight w:val="0"/>
      <w:marTop w:val="0"/>
      <w:marBottom w:val="0"/>
      <w:divBdr>
        <w:top w:val="none" w:sz="0" w:space="0" w:color="auto"/>
        <w:left w:val="none" w:sz="0" w:space="0" w:color="auto"/>
        <w:bottom w:val="none" w:sz="0" w:space="0" w:color="auto"/>
        <w:right w:val="none" w:sz="0" w:space="0" w:color="auto"/>
      </w:divBdr>
    </w:div>
    <w:div w:id="376008041">
      <w:bodyDiv w:val="1"/>
      <w:marLeft w:val="0"/>
      <w:marRight w:val="0"/>
      <w:marTop w:val="0"/>
      <w:marBottom w:val="0"/>
      <w:divBdr>
        <w:top w:val="none" w:sz="0" w:space="0" w:color="auto"/>
        <w:left w:val="none" w:sz="0" w:space="0" w:color="auto"/>
        <w:bottom w:val="none" w:sz="0" w:space="0" w:color="auto"/>
        <w:right w:val="none" w:sz="0" w:space="0" w:color="auto"/>
      </w:divBdr>
    </w:div>
    <w:div w:id="494881321">
      <w:bodyDiv w:val="1"/>
      <w:marLeft w:val="0"/>
      <w:marRight w:val="0"/>
      <w:marTop w:val="0"/>
      <w:marBottom w:val="0"/>
      <w:divBdr>
        <w:top w:val="none" w:sz="0" w:space="0" w:color="auto"/>
        <w:left w:val="none" w:sz="0" w:space="0" w:color="auto"/>
        <w:bottom w:val="none" w:sz="0" w:space="0" w:color="auto"/>
        <w:right w:val="none" w:sz="0" w:space="0" w:color="auto"/>
      </w:divBdr>
    </w:div>
    <w:div w:id="648173865">
      <w:bodyDiv w:val="1"/>
      <w:marLeft w:val="0"/>
      <w:marRight w:val="0"/>
      <w:marTop w:val="0"/>
      <w:marBottom w:val="0"/>
      <w:divBdr>
        <w:top w:val="none" w:sz="0" w:space="0" w:color="auto"/>
        <w:left w:val="none" w:sz="0" w:space="0" w:color="auto"/>
        <w:bottom w:val="none" w:sz="0" w:space="0" w:color="auto"/>
        <w:right w:val="none" w:sz="0" w:space="0" w:color="auto"/>
      </w:divBdr>
    </w:div>
    <w:div w:id="677075149">
      <w:bodyDiv w:val="1"/>
      <w:marLeft w:val="0"/>
      <w:marRight w:val="0"/>
      <w:marTop w:val="0"/>
      <w:marBottom w:val="0"/>
      <w:divBdr>
        <w:top w:val="none" w:sz="0" w:space="0" w:color="auto"/>
        <w:left w:val="none" w:sz="0" w:space="0" w:color="auto"/>
        <w:bottom w:val="none" w:sz="0" w:space="0" w:color="auto"/>
        <w:right w:val="none" w:sz="0" w:space="0" w:color="auto"/>
      </w:divBdr>
    </w:div>
    <w:div w:id="707028023">
      <w:bodyDiv w:val="1"/>
      <w:marLeft w:val="0"/>
      <w:marRight w:val="0"/>
      <w:marTop w:val="0"/>
      <w:marBottom w:val="0"/>
      <w:divBdr>
        <w:top w:val="none" w:sz="0" w:space="0" w:color="auto"/>
        <w:left w:val="none" w:sz="0" w:space="0" w:color="auto"/>
        <w:bottom w:val="none" w:sz="0" w:space="0" w:color="auto"/>
        <w:right w:val="none" w:sz="0" w:space="0" w:color="auto"/>
      </w:divBdr>
    </w:div>
    <w:div w:id="728310533">
      <w:bodyDiv w:val="1"/>
      <w:marLeft w:val="0"/>
      <w:marRight w:val="0"/>
      <w:marTop w:val="0"/>
      <w:marBottom w:val="0"/>
      <w:divBdr>
        <w:top w:val="none" w:sz="0" w:space="0" w:color="auto"/>
        <w:left w:val="none" w:sz="0" w:space="0" w:color="auto"/>
        <w:bottom w:val="none" w:sz="0" w:space="0" w:color="auto"/>
        <w:right w:val="none" w:sz="0" w:space="0" w:color="auto"/>
      </w:divBdr>
      <w:divsChild>
        <w:div w:id="2107991428">
          <w:marLeft w:val="0"/>
          <w:marRight w:val="0"/>
          <w:marTop w:val="0"/>
          <w:marBottom w:val="0"/>
          <w:divBdr>
            <w:top w:val="none" w:sz="0" w:space="0" w:color="auto"/>
            <w:left w:val="none" w:sz="0" w:space="0" w:color="auto"/>
            <w:bottom w:val="none" w:sz="0" w:space="0" w:color="auto"/>
            <w:right w:val="none" w:sz="0" w:space="0" w:color="auto"/>
          </w:divBdr>
          <w:divsChild>
            <w:div w:id="1055858183">
              <w:marLeft w:val="0"/>
              <w:marRight w:val="0"/>
              <w:marTop w:val="0"/>
              <w:marBottom w:val="0"/>
              <w:divBdr>
                <w:top w:val="none" w:sz="0" w:space="0" w:color="auto"/>
                <w:left w:val="none" w:sz="0" w:space="0" w:color="auto"/>
                <w:bottom w:val="none" w:sz="0" w:space="0" w:color="auto"/>
                <w:right w:val="none" w:sz="0" w:space="0" w:color="auto"/>
              </w:divBdr>
              <w:divsChild>
                <w:div w:id="157616207">
                  <w:marLeft w:val="0"/>
                  <w:marRight w:val="0"/>
                  <w:marTop w:val="0"/>
                  <w:marBottom w:val="0"/>
                  <w:divBdr>
                    <w:top w:val="none" w:sz="0" w:space="0" w:color="auto"/>
                    <w:left w:val="none" w:sz="0" w:space="0" w:color="auto"/>
                    <w:bottom w:val="none" w:sz="0" w:space="0" w:color="auto"/>
                    <w:right w:val="none" w:sz="0" w:space="0" w:color="auto"/>
                  </w:divBdr>
                  <w:divsChild>
                    <w:div w:id="435635442">
                      <w:marLeft w:val="0"/>
                      <w:marRight w:val="0"/>
                      <w:marTop w:val="0"/>
                      <w:marBottom w:val="0"/>
                      <w:divBdr>
                        <w:top w:val="none" w:sz="0" w:space="0" w:color="auto"/>
                        <w:left w:val="none" w:sz="0" w:space="0" w:color="auto"/>
                        <w:bottom w:val="none" w:sz="0" w:space="0" w:color="auto"/>
                        <w:right w:val="none" w:sz="0" w:space="0" w:color="auto"/>
                      </w:divBdr>
                      <w:divsChild>
                        <w:div w:id="1126587282">
                          <w:marLeft w:val="0"/>
                          <w:marRight w:val="0"/>
                          <w:marTop w:val="0"/>
                          <w:marBottom w:val="0"/>
                          <w:divBdr>
                            <w:top w:val="none" w:sz="0" w:space="0" w:color="auto"/>
                            <w:left w:val="none" w:sz="0" w:space="0" w:color="auto"/>
                            <w:bottom w:val="none" w:sz="0" w:space="0" w:color="auto"/>
                            <w:right w:val="none" w:sz="0" w:space="0" w:color="auto"/>
                          </w:divBdr>
                          <w:divsChild>
                            <w:div w:id="941762875">
                              <w:marLeft w:val="0"/>
                              <w:marRight w:val="0"/>
                              <w:marTop w:val="0"/>
                              <w:marBottom w:val="0"/>
                              <w:divBdr>
                                <w:top w:val="none" w:sz="0" w:space="0" w:color="auto"/>
                                <w:left w:val="none" w:sz="0" w:space="0" w:color="auto"/>
                                <w:bottom w:val="none" w:sz="0" w:space="0" w:color="auto"/>
                                <w:right w:val="none" w:sz="0" w:space="0" w:color="auto"/>
                              </w:divBdr>
                              <w:divsChild>
                                <w:div w:id="1242912752">
                                  <w:marLeft w:val="0"/>
                                  <w:marRight w:val="0"/>
                                  <w:marTop w:val="0"/>
                                  <w:marBottom w:val="0"/>
                                  <w:divBdr>
                                    <w:top w:val="none" w:sz="0" w:space="0" w:color="auto"/>
                                    <w:left w:val="none" w:sz="0" w:space="0" w:color="auto"/>
                                    <w:bottom w:val="none" w:sz="0" w:space="0" w:color="auto"/>
                                    <w:right w:val="none" w:sz="0" w:space="0" w:color="auto"/>
                                  </w:divBdr>
                                  <w:divsChild>
                                    <w:div w:id="1741706705">
                                      <w:marLeft w:val="0"/>
                                      <w:marRight w:val="0"/>
                                      <w:marTop w:val="0"/>
                                      <w:marBottom w:val="0"/>
                                      <w:divBdr>
                                        <w:top w:val="none" w:sz="0" w:space="0" w:color="auto"/>
                                        <w:left w:val="none" w:sz="0" w:space="0" w:color="auto"/>
                                        <w:bottom w:val="none" w:sz="0" w:space="0" w:color="auto"/>
                                        <w:right w:val="none" w:sz="0" w:space="0" w:color="auto"/>
                                      </w:divBdr>
                                      <w:divsChild>
                                        <w:div w:id="644164664">
                                          <w:marLeft w:val="0"/>
                                          <w:marRight w:val="165"/>
                                          <w:marTop w:val="150"/>
                                          <w:marBottom w:val="0"/>
                                          <w:divBdr>
                                            <w:top w:val="none" w:sz="0" w:space="0" w:color="auto"/>
                                            <w:left w:val="none" w:sz="0" w:space="0" w:color="auto"/>
                                            <w:bottom w:val="none" w:sz="0" w:space="0" w:color="auto"/>
                                            <w:right w:val="none" w:sz="0" w:space="0" w:color="auto"/>
                                          </w:divBdr>
                                          <w:divsChild>
                                            <w:div w:id="109786340">
                                              <w:marLeft w:val="0"/>
                                              <w:marRight w:val="0"/>
                                              <w:marTop w:val="0"/>
                                              <w:marBottom w:val="0"/>
                                              <w:divBdr>
                                                <w:top w:val="none" w:sz="0" w:space="0" w:color="auto"/>
                                                <w:left w:val="none" w:sz="0" w:space="0" w:color="auto"/>
                                                <w:bottom w:val="none" w:sz="0" w:space="0" w:color="auto"/>
                                                <w:right w:val="none" w:sz="0" w:space="0" w:color="auto"/>
                                              </w:divBdr>
                                              <w:divsChild>
                                                <w:div w:id="12368208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454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371010">
      <w:bodyDiv w:val="1"/>
      <w:marLeft w:val="0"/>
      <w:marRight w:val="0"/>
      <w:marTop w:val="0"/>
      <w:marBottom w:val="0"/>
      <w:divBdr>
        <w:top w:val="none" w:sz="0" w:space="0" w:color="auto"/>
        <w:left w:val="none" w:sz="0" w:space="0" w:color="auto"/>
        <w:bottom w:val="none" w:sz="0" w:space="0" w:color="auto"/>
        <w:right w:val="none" w:sz="0" w:space="0" w:color="auto"/>
      </w:divBdr>
      <w:divsChild>
        <w:div w:id="1829905830">
          <w:marLeft w:val="0"/>
          <w:marRight w:val="0"/>
          <w:marTop w:val="0"/>
          <w:marBottom w:val="0"/>
          <w:divBdr>
            <w:top w:val="none" w:sz="0" w:space="0" w:color="auto"/>
            <w:left w:val="none" w:sz="0" w:space="0" w:color="auto"/>
            <w:bottom w:val="none" w:sz="0" w:space="0" w:color="auto"/>
            <w:right w:val="none" w:sz="0" w:space="0" w:color="auto"/>
          </w:divBdr>
          <w:divsChild>
            <w:div w:id="98070675">
              <w:marLeft w:val="0"/>
              <w:marRight w:val="0"/>
              <w:marTop w:val="0"/>
              <w:marBottom w:val="0"/>
              <w:divBdr>
                <w:top w:val="none" w:sz="0" w:space="0" w:color="auto"/>
                <w:left w:val="none" w:sz="0" w:space="0" w:color="auto"/>
                <w:bottom w:val="none" w:sz="0" w:space="0" w:color="auto"/>
                <w:right w:val="none" w:sz="0" w:space="0" w:color="auto"/>
              </w:divBdr>
              <w:divsChild>
                <w:div w:id="1467430612">
                  <w:marLeft w:val="0"/>
                  <w:marRight w:val="0"/>
                  <w:marTop w:val="0"/>
                  <w:marBottom w:val="0"/>
                  <w:divBdr>
                    <w:top w:val="none" w:sz="0" w:space="0" w:color="auto"/>
                    <w:left w:val="none" w:sz="0" w:space="0" w:color="auto"/>
                    <w:bottom w:val="none" w:sz="0" w:space="0" w:color="auto"/>
                    <w:right w:val="none" w:sz="0" w:space="0" w:color="auto"/>
                  </w:divBdr>
                  <w:divsChild>
                    <w:div w:id="1685401425">
                      <w:marLeft w:val="0"/>
                      <w:marRight w:val="0"/>
                      <w:marTop w:val="0"/>
                      <w:marBottom w:val="0"/>
                      <w:divBdr>
                        <w:top w:val="none" w:sz="0" w:space="0" w:color="auto"/>
                        <w:left w:val="none" w:sz="0" w:space="0" w:color="auto"/>
                        <w:bottom w:val="none" w:sz="0" w:space="0" w:color="auto"/>
                        <w:right w:val="none" w:sz="0" w:space="0" w:color="auto"/>
                      </w:divBdr>
                      <w:divsChild>
                        <w:div w:id="1584605239">
                          <w:marLeft w:val="0"/>
                          <w:marRight w:val="0"/>
                          <w:marTop w:val="0"/>
                          <w:marBottom w:val="0"/>
                          <w:divBdr>
                            <w:top w:val="none" w:sz="0" w:space="0" w:color="auto"/>
                            <w:left w:val="none" w:sz="0" w:space="0" w:color="auto"/>
                            <w:bottom w:val="none" w:sz="0" w:space="0" w:color="auto"/>
                            <w:right w:val="none" w:sz="0" w:space="0" w:color="auto"/>
                          </w:divBdr>
                          <w:divsChild>
                            <w:div w:id="1086417216">
                              <w:marLeft w:val="0"/>
                              <w:marRight w:val="0"/>
                              <w:marTop w:val="0"/>
                              <w:marBottom w:val="0"/>
                              <w:divBdr>
                                <w:top w:val="none" w:sz="0" w:space="0" w:color="auto"/>
                                <w:left w:val="none" w:sz="0" w:space="0" w:color="auto"/>
                                <w:bottom w:val="none" w:sz="0" w:space="0" w:color="auto"/>
                                <w:right w:val="none" w:sz="0" w:space="0" w:color="auto"/>
                              </w:divBdr>
                              <w:divsChild>
                                <w:div w:id="281503279">
                                  <w:marLeft w:val="0"/>
                                  <w:marRight w:val="0"/>
                                  <w:marTop w:val="0"/>
                                  <w:marBottom w:val="0"/>
                                  <w:divBdr>
                                    <w:top w:val="none" w:sz="0" w:space="0" w:color="auto"/>
                                    <w:left w:val="none" w:sz="0" w:space="0" w:color="auto"/>
                                    <w:bottom w:val="none" w:sz="0" w:space="0" w:color="auto"/>
                                    <w:right w:val="none" w:sz="0" w:space="0" w:color="auto"/>
                                  </w:divBdr>
                                  <w:divsChild>
                                    <w:div w:id="381290440">
                                      <w:marLeft w:val="0"/>
                                      <w:marRight w:val="0"/>
                                      <w:marTop w:val="0"/>
                                      <w:marBottom w:val="0"/>
                                      <w:divBdr>
                                        <w:top w:val="none" w:sz="0" w:space="0" w:color="auto"/>
                                        <w:left w:val="none" w:sz="0" w:space="0" w:color="auto"/>
                                        <w:bottom w:val="none" w:sz="0" w:space="0" w:color="auto"/>
                                        <w:right w:val="none" w:sz="0" w:space="0" w:color="auto"/>
                                      </w:divBdr>
                                    </w:div>
                                    <w:div w:id="2029331596">
                                      <w:marLeft w:val="0"/>
                                      <w:marRight w:val="0"/>
                                      <w:marTop w:val="0"/>
                                      <w:marBottom w:val="0"/>
                                      <w:divBdr>
                                        <w:top w:val="none" w:sz="0" w:space="0" w:color="auto"/>
                                        <w:left w:val="none" w:sz="0" w:space="0" w:color="auto"/>
                                        <w:bottom w:val="none" w:sz="0" w:space="0" w:color="auto"/>
                                        <w:right w:val="none" w:sz="0" w:space="0" w:color="auto"/>
                                      </w:divBdr>
                                      <w:divsChild>
                                        <w:div w:id="1732651584">
                                          <w:marLeft w:val="0"/>
                                          <w:marRight w:val="165"/>
                                          <w:marTop w:val="150"/>
                                          <w:marBottom w:val="0"/>
                                          <w:divBdr>
                                            <w:top w:val="none" w:sz="0" w:space="0" w:color="auto"/>
                                            <w:left w:val="none" w:sz="0" w:space="0" w:color="auto"/>
                                            <w:bottom w:val="none" w:sz="0" w:space="0" w:color="auto"/>
                                            <w:right w:val="none" w:sz="0" w:space="0" w:color="auto"/>
                                          </w:divBdr>
                                          <w:divsChild>
                                            <w:div w:id="1219240708">
                                              <w:marLeft w:val="0"/>
                                              <w:marRight w:val="0"/>
                                              <w:marTop w:val="0"/>
                                              <w:marBottom w:val="0"/>
                                              <w:divBdr>
                                                <w:top w:val="none" w:sz="0" w:space="0" w:color="auto"/>
                                                <w:left w:val="none" w:sz="0" w:space="0" w:color="auto"/>
                                                <w:bottom w:val="none" w:sz="0" w:space="0" w:color="auto"/>
                                                <w:right w:val="none" w:sz="0" w:space="0" w:color="auto"/>
                                              </w:divBdr>
                                              <w:divsChild>
                                                <w:div w:id="4468942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150289">
      <w:bodyDiv w:val="1"/>
      <w:marLeft w:val="0"/>
      <w:marRight w:val="0"/>
      <w:marTop w:val="0"/>
      <w:marBottom w:val="0"/>
      <w:divBdr>
        <w:top w:val="none" w:sz="0" w:space="0" w:color="auto"/>
        <w:left w:val="none" w:sz="0" w:space="0" w:color="auto"/>
        <w:bottom w:val="none" w:sz="0" w:space="0" w:color="auto"/>
        <w:right w:val="none" w:sz="0" w:space="0" w:color="auto"/>
      </w:divBdr>
    </w:div>
    <w:div w:id="851340125">
      <w:bodyDiv w:val="1"/>
      <w:marLeft w:val="0"/>
      <w:marRight w:val="0"/>
      <w:marTop w:val="0"/>
      <w:marBottom w:val="0"/>
      <w:divBdr>
        <w:top w:val="none" w:sz="0" w:space="0" w:color="auto"/>
        <w:left w:val="none" w:sz="0" w:space="0" w:color="auto"/>
        <w:bottom w:val="none" w:sz="0" w:space="0" w:color="auto"/>
        <w:right w:val="none" w:sz="0" w:space="0" w:color="auto"/>
      </w:divBdr>
    </w:div>
    <w:div w:id="857085741">
      <w:bodyDiv w:val="1"/>
      <w:marLeft w:val="0"/>
      <w:marRight w:val="0"/>
      <w:marTop w:val="0"/>
      <w:marBottom w:val="0"/>
      <w:divBdr>
        <w:top w:val="none" w:sz="0" w:space="0" w:color="auto"/>
        <w:left w:val="none" w:sz="0" w:space="0" w:color="auto"/>
        <w:bottom w:val="none" w:sz="0" w:space="0" w:color="auto"/>
        <w:right w:val="none" w:sz="0" w:space="0" w:color="auto"/>
      </w:divBdr>
    </w:div>
    <w:div w:id="1340766899">
      <w:bodyDiv w:val="1"/>
      <w:marLeft w:val="0"/>
      <w:marRight w:val="0"/>
      <w:marTop w:val="0"/>
      <w:marBottom w:val="0"/>
      <w:divBdr>
        <w:top w:val="none" w:sz="0" w:space="0" w:color="auto"/>
        <w:left w:val="none" w:sz="0" w:space="0" w:color="auto"/>
        <w:bottom w:val="none" w:sz="0" w:space="0" w:color="auto"/>
        <w:right w:val="none" w:sz="0" w:space="0" w:color="auto"/>
      </w:divBdr>
    </w:div>
    <w:div w:id="1404184302">
      <w:bodyDiv w:val="1"/>
      <w:marLeft w:val="0"/>
      <w:marRight w:val="0"/>
      <w:marTop w:val="0"/>
      <w:marBottom w:val="0"/>
      <w:divBdr>
        <w:top w:val="none" w:sz="0" w:space="0" w:color="auto"/>
        <w:left w:val="none" w:sz="0" w:space="0" w:color="auto"/>
        <w:bottom w:val="none" w:sz="0" w:space="0" w:color="auto"/>
        <w:right w:val="none" w:sz="0" w:space="0" w:color="auto"/>
      </w:divBdr>
    </w:div>
    <w:div w:id="1658991445">
      <w:bodyDiv w:val="1"/>
      <w:marLeft w:val="0"/>
      <w:marRight w:val="0"/>
      <w:marTop w:val="0"/>
      <w:marBottom w:val="0"/>
      <w:divBdr>
        <w:top w:val="none" w:sz="0" w:space="0" w:color="auto"/>
        <w:left w:val="none" w:sz="0" w:space="0" w:color="auto"/>
        <w:bottom w:val="none" w:sz="0" w:space="0" w:color="auto"/>
        <w:right w:val="none" w:sz="0" w:space="0" w:color="auto"/>
      </w:divBdr>
    </w:div>
    <w:div w:id="171246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fr.eu/article/vision-2030-four-steps-towards-the-new-eu-enlarg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aspi://module='ASPI'&amp;link='614/2002%20Z.z.'&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3187</Characters>
  <Application>Microsoft Office Word</Application>
  <DocSecurity>0</DocSecurity>
  <Lines>26</Lines>
  <Paragraphs>7</Paragraphs>
  <ScaleCrop>false</ScaleCrop>
  <HeadingPairs>
    <vt:vector size="6" baseType="variant">
      <vt:variant>
        <vt:lpstr>Title</vt:lpstr>
      </vt:variant>
      <vt:variant>
        <vt:i4>1</vt:i4>
      </vt:variant>
      <vt:variant>
        <vt:lpstr>Názov</vt:lpstr>
      </vt:variant>
      <vt:variant>
        <vt:i4>1</vt:i4>
      </vt:variant>
      <vt:variant>
        <vt:lpstr>Título</vt:lpstr>
      </vt:variant>
      <vt:variant>
        <vt:i4>1</vt:i4>
      </vt:variant>
    </vt:vector>
  </HeadingPairs>
  <TitlesOfParts>
    <vt:vector size="3" baseType="lpstr">
      <vt:lpstr/>
      <vt:lpstr/>
      <vt:lpstr/>
    </vt:vector>
  </TitlesOfParts>
  <Company>MSVVaSSR</Company>
  <LinksUpToDate>false</LinksUpToDate>
  <CharactersWithSpaces>3739</CharactersWithSpaces>
  <SharedDoc>false</SharedDoc>
  <HLinks>
    <vt:vector size="84" baseType="variant">
      <vt:variant>
        <vt:i4>2490426</vt:i4>
      </vt:variant>
      <vt:variant>
        <vt:i4>36</vt:i4>
      </vt:variant>
      <vt:variant>
        <vt:i4>0</vt:i4>
      </vt:variant>
      <vt:variant>
        <vt:i4>5</vt:i4>
      </vt:variant>
      <vt:variant>
        <vt:lpwstr>https://carnegieendowment.org/2021/06/07/islamic-institutions-in-arab-states-mapping-dynamics-of-control-co-option-and-contention-pub-84647</vt:lpwstr>
      </vt:variant>
      <vt:variant>
        <vt:lpwstr/>
      </vt:variant>
      <vt:variant>
        <vt:i4>6226011</vt:i4>
      </vt:variant>
      <vt:variant>
        <vt:i4>33</vt:i4>
      </vt:variant>
      <vt:variant>
        <vt:i4>0</vt:i4>
      </vt:variant>
      <vt:variant>
        <vt:i4>5</vt:i4>
      </vt:variant>
      <vt:variant>
        <vt:lpwstr>https://www.tesev.org.tr/en/research/feasibility-study-for-a-broader-  middle-east-and-north-africa-gender-institute/</vt:lpwstr>
      </vt:variant>
      <vt:variant>
        <vt:lpwstr/>
      </vt:variant>
      <vt:variant>
        <vt:i4>786505</vt:i4>
      </vt:variant>
      <vt:variant>
        <vt:i4>30</vt:i4>
      </vt:variant>
      <vt:variant>
        <vt:i4>0</vt:i4>
      </vt:variant>
      <vt:variant>
        <vt:i4>5</vt:i4>
      </vt:variant>
      <vt:variant>
        <vt:lpwstr>https://doi.org/10.1080/09592318.2016.1189495</vt:lpwstr>
      </vt:variant>
      <vt:variant>
        <vt:lpwstr/>
      </vt:variant>
      <vt:variant>
        <vt:i4>1179667</vt:i4>
      </vt:variant>
      <vt:variant>
        <vt:i4>27</vt:i4>
      </vt:variant>
      <vt:variant>
        <vt:i4>0</vt:i4>
      </vt:variant>
      <vt:variant>
        <vt:i4>5</vt:i4>
      </vt:variant>
      <vt:variant>
        <vt:lpwstr>https://doi.org/10.1017/S0020743818000971</vt:lpwstr>
      </vt:variant>
      <vt:variant>
        <vt:lpwstr/>
      </vt:variant>
      <vt:variant>
        <vt:i4>2556002</vt:i4>
      </vt:variant>
      <vt:variant>
        <vt:i4>24</vt:i4>
      </vt:variant>
      <vt:variant>
        <vt:i4>0</vt:i4>
      </vt:variant>
      <vt:variant>
        <vt:i4>5</vt:i4>
      </vt:variant>
      <vt:variant>
        <vt:lpwstr>https://doi.org/10.1111/sena.12292</vt:lpwstr>
      </vt:variant>
      <vt:variant>
        <vt:lpwstr/>
      </vt:variant>
      <vt:variant>
        <vt:i4>1376344</vt:i4>
      </vt:variant>
      <vt:variant>
        <vt:i4>21</vt:i4>
      </vt:variant>
      <vt:variant>
        <vt:i4>0</vt:i4>
      </vt:variant>
      <vt:variant>
        <vt:i4>5</vt:i4>
      </vt:variant>
      <vt:variant>
        <vt:lpwstr>https://doi.org/10.1080/00263209908701256</vt:lpwstr>
      </vt:variant>
      <vt:variant>
        <vt:lpwstr/>
      </vt:variant>
      <vt:variant>
        <vt:i4>5898251</vt:i4>
      </vt:variant>
      <vt:variant>
        <vt:i4>18</vt:i4>
      </vt:variant>
      <vt:variant>
        <vt:i4>0</vt:i4>
      </vt:variant>
      <vt:variant>
        <vt:i4>5</vt:i4>
      </vt:variant>
      <vt:variant>
        <vt:lpwstr>https://www.cmi.no/publications/file/1548-political-islam-in-the-middle-east.pdf</vt:lpwstr>
      </vt:variant>
      <vt:variant>
        <vt:lpwstr/>
      </vt:variant>
      <vt:variant>
        <vt:i4>3211315</vt:i4>
      </vt:variant>
      <vt:variant>
        <vt:i4>15</vt:i4>
      </vt:variant>
      <vt:variant>
        <vt:i4>0</vt:i4>
      </vt:variant>
      <vt:variant>
        <vt:i4>5</vt:i4>
      </vt:variant>
      <vt:variant>
        <vt:lpwstr>https://www.academia.edu/download/33573307/The-historiography-and-the-memory-of-the-Lebanese-civil-war.pdf</vt:lpwstr>
      </vt:variant>
      <vt:variant>
        <vt:lpwstr/>
      </vt:variant>
      <vt:variant>
        <vt:i4>4128879</vt:i4>
      </vt:variant>
      <vt:variant>
        <vt:i4>12</vt:i4>
      </vt:variant>
      <vt:variant>
        <vt:i4>0</vt:i4>
      </vt:variant>
      <vt:variant>
        <vt:i4>5</vt:i4>
      </vt:variant>
      <vt:variant>
        <vt:lpwstr>https://doi.org/10.1515/IJSL-2013-0015</vt:lpwstr>
      </vt:variant>
      <vt:variant>
        <vt:lpwstr/>
      </vt:variant>
      <vt:variant>
        <vt:i4>2031709</vt:i4>
      </vt:variant>
      <vt:variant>
        <vt:i4>9</vt:i4>
      </vt:variant>
      <vt:variant>
        <vt:i4>0</vt:i4>
      </vt:variant>
      <vt:variant>
        <vt:i4>5</vt:i4>
      </vt:variant>
      <vt:variant>
        <vt:lpwstr>https://doi.org/10.1080/09637490802260385</vt:lpwstr>
      </vt:variant>
      <vt:variant>
        <vt:lpwstr/>
      </vt:variant>
      <vt:variant>
        <vt:i4>65605</vt:i4>
      </vt:variant>
      <vt:variant>
        <vt:i4>6</vt:i4>
      </vt:variant>
      <vt:variant>
        <vt:i4>0</vt:i4>
      </vt:variant>
      <vt:variant>
        <vt:i4>5</vt:i4>
      </vt:variant>
      <vt:variant>
        <vt:lpwstr>https://doi.org/10.1080/14725886.2017.1295589</vt:lpwstr>
      </vt:variant>
      <vt:variant>
        <vt:lpwstr/>
      </vt:variant>
      <vt:variant>
        <vt:i4>983068</vt:i4>
      </vt:variant>
      <vt:variant>
        <vt:i4>3</vt:i4>
      </vt:variant>
      <vt:variant>
        <vt:i4>0</vt:i4>
      </vt:variant>
      <vt:variant>
        <vt:i4>5</vt:i4>
      </vt:variant>
      <vt:variant>
        <vt:lpwstr>https://doi.org/10.1007/s10624-018-9534-5</vt:lpwstr>
      </vt:variant>
      <vt:variant>
        <vt:lpwstr/>
      </vt:variant>
      <vt:variant>
        <vt:i4>3342392</vt:i4>
      </vt:variant>
      <vt:variant>
        <vt:i4>0</vt:i4>
      </vt:variant>
      <vt:variant>
        <vt:i4>0</vt:i4>
      </vt:variant>
      <vt:variant>
        <vt:i4>5</vt:i4>
      </vt:variant>
      <vt:variant>
        <vt:lpwstr>https://al-shabaka.org/wp-content/uploads/2019/07/Amara_Hawari_Commentary_Eng_Aug2019.pdf</vt:lpwstr>
      </vt:variant>
      <vt:variant>
        <vt:lpwstr/>
      </vt:variant>
      <vt:variant>
        <vt:i4>65566</vt:i4>
      </vt:variant>
      <vt:variant>
        <vt:i4>3</vt:i4>
      </vt:variant>
      <vt:variant>
        <vt:i4>0</vt:i4>
      </vt:variant>
      <vt:variant>
        <vt:i4>5</vt:i4>
      </vt:variant>
      <vt:variant>
        <vt:lpwstr>aspi://module='ASPI'&amp;link='614/2002 Z.z.'&amp;ucin-k-dni='30.12.9999'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Ľahká Katarína</dc:creator>
  <cp:keywords/>
  <cp:lastModifiedBy>Lucia Sulikova</cp:lastModifiedBy>
  <cp:revision>3</cp:revision>
  <dcterms:created xsi:type="dcterms:W3CDTF">2025-02-11T09:52:00Z</dcterms:created>
  <dcterms:modified xsi:type="dcterms:W3CDTF">2025-02-11T09:53:00Z</dcterms:modified>
</cp:coreProperties>
</file>