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B8F82" w14:textId="77777777" w:rsidR="00CA2D4F" w:rsidRPr="00CA2D4F" w:rsidRDefault="00CA2D4F" w:rsidP="00CA2D4F">
      <w:pPr>
        <w:ind w:left="720"/>
        <w:jc w:val="right"/>
      </w:pPr>
      <w:r w:rsidRPr="00CA2D4F">
        <w:t>Informačný list predmetu</w:t>
      </w:r>
    </w:p>
    <w:p w14:paraId="2A9D418C" w14:textId="77777777" w:rsidR="00CA2D4F" w:rsidRPr="00CA2D4F" w:rsidRDefault="00CA2D4F" w:rsidP="00CA2D4F">
      <w:pPr>
        <w:ind w:left="720"/>
        <w:jc w:val="center"/>
      </w:pPr>
    </w:p>
    <w:tbl>
      <w:tblPr>
        <w:tblStyle w:val="Mriekatabuky"/>
        <w:tblW w:w="9322" w:type="dxa"/>
        <w:tblLook w:val="04A0" w:firstRow="1" w:lastRow="0" w:firstColumn="1" w:lastColumn="0" w:noHBand="0" w:noVBand="1"/>
      </w:tblPr>
      <w:tblGrid>
        <w:gridCol w:w="4110"/>
        <w:gridCol w:w="5212"/>
      </w:tblGrid>
      <w:tr w:rsidR="00CA2D4F" w:rsidRPr="00CA2D4F" w14:paraId="0947B2BD" w14:textId="77777777" w:rsidTr="00E7561C">
        <w:tc>
          <w:tcPr>
            <w:tcW w:w="9322" w:type="dxa"/>
            <w:gridSpan w:val="2"/>
          </w:tcPr>
          <w:p w14:paraId="6DE87119" w14:textId="77777777" w:rsidR="00CA2D4F" w:rsidRPr="00CA2D4F" w:rsidRDefault="00CA2D4F" w:rsidP="00E7561C">
            <w:r w:rsidRPr="00CA2D4F">
              <w:rPr>
                <w:b/>
              </w:rPr>
              <w:t>Vysoká škola:</w:t>
            </w:r>
            <w:r w:rsidRPr="00CA2D4F">
              <w:t xml:space="preserve"> Bratislava International School of Liberal Arts (BISLA)</w:t>
            </w:r>
          </w:p>
        </w:tc>
      </w:tr>
      <w:tr w:rsidR="00CA2D4F" w:rsidRPr="00CA2D4F" w14:paraId="14B78A38" w14:textId="77777777" w:rsidTr="00E7561C">
        <w:tc>
          <w:tcPr>
            <w:tcW w:w="9322" w:type="dxa"/>
            <w:gridSpan w:val="2"/>
          </w:tcPr>
          <w:p w14:paraId="1EA0AA72" w14:textId="77777777" w:rsidR="00CA2D4F" w:rsidRPr="00CA2D4F" w:rsidRDefault="00CA2D4F" w:rsidP="00E7561C">
            <w:pPr>
              <w:rPr>
                <w:i/>
              </w:rPr>
            </w:pPr>
            <w:r w:rsidRPr="00CA2D4F">
              <w:rPr>
                <w:b/>
              </w:rPr>
              <w:t>Fakulta:</w:t>
            </w:r>
            <w:r w:rsidRPr="00CA2D4F">
              <w:t xml:space="preserve"> </w:t>
            </w:r>
            <w:r w:rsidRPr="00CA2D4F">
              <w:rPr>
                <w:i/>
              </w:rPr>
              <w:t xml:space="preserve"> </w:t>
            </w:r>
          </w:p>
        </w:tc>
      </w:tr>
      <w:tr w:rsidR="00CA2D4F" w:rsidRPr="00CA2D4F" w14:paraId="2E82403B" w14:textId="77777777" w:rsidTr="00E7561C">
        <w:tc>
          <w:tcPr>
            <w:tcW w:w="4110" w:type="dxa"/>
          </w:tcPr>
          <w:p w14:paraId="603E3FAA" w14:textId="6CFB0B6F" w:rsidR="00CA2D4F" w:rsidRPr="0020170E" w:rsidRDefault="00CA2D4F" w:rsidP="00E7561C">
            <w:pPr>
              <w:rPr>
                <w:iCs/>
              </w:rPr>
            </w:pPr>
            <w:r w:rsidRPr="00CA2D4F">
              <w:rPr>
                <w:b/>
              </w:rPr>
              <w:t>Kód predmetu:</w:t>
            </w:r>
            <w:r w:rsidRPr="00CA2D4F">
              <w:t xml:space="preserve"> </w:t>
            </w:r>
            <w:r w:rsidRPr="00CA2D4F">
              <w:rPr>
                <w:i/>
              </w:rPr>
              <w:t xml:space="preserve"> </w:t>
            </w:r>
            <w:r w:rsidR="0020170E">
              <w:rPr>
                <w:iCs/>
              </w:rPr>
              <w:t>H-700</w:t>
            </w:r>
          </w:p>
        </w:tc>
        <w:tc>
          <w:tcPr>
            <w:tcW w:w="5212" w:type="dxa"/>
          </w:tcPr>
          <w:p w14:paraId="4F1D34DF" w14:textId="1730093D" w:rsidR="00CA2D4F" w:rsidRPr="00CA2D4F" w:rsidRDefault="00CA2D4F" w:rsidP="00E7561C">
            <w:pPr>
              <w:rPr>
                <w:b/>
              </w:rPr>
            </w:pPr>
            <w:r w:rsidRPr="00CA2D4F">
              <w:rPr>
                <w:b/>
              </w:rPr>
              <w:t xml:space="preserve">Názov predmetu: </w:t>
            </w:r>
            <w:r w:rsidRPr="00CA2D4F">
              <w:rPr>
                <w:bCs/>
              </w:rPr>
              <w:t>East Asia: How History Defines Culture</w:t>
            </w:r>
          </w:p>
        </w:tc>
      </w:tr>
      <w:tr w:rsidR="00CA2D4F" w:rsidRPr="00CA2D4F" w14:paraId="14A69FEE" w14:textId="77777777" w:rsidTr="00E7561C">
        <w:trPr>
          <w:trHeight w:val="733"/>
        </w:trPr>
        <w:tc>
          <w:tcPr>
            <w:tcW w:w="9322" w:type="dxa"/>
            <w:gridSpan w:val="2"/>
          </w:tcPr>
          <w:p w14:paraId="55E6DC84" w14:textId="435DD198" w:rsidR="00CA2D4F" w:rsidRPr="00CA2D4F" w:rsidRDefault="00CA2D4F" w:rsidP="00E7561C">
            <w:r w:rsidRPr="00CA2D4F">
              <w:rPr>
                <w:b/>
              </w:rPr>
              <w:t>Druh, rozsah a metóda vzdelávacích činností:</w:t>
            </w:r>
            <w:r w:rsidRPr="00CA2D4F">
              <w:t xml:space="preserve"> As a pop-up course, this involves one weekly 90 minute meeting, in person, including seminar and lecture, which amounts to 15 hours throughout the semester.</w:t>
            </w:r>
          </w:p>
        </w:tc>
      </w:tr>
      <w:tr w:rsidR="00CA2D4F" w:rsidRPr="00CA2D4F" w14:paraId="034DD9CE" w14:textId="77777777" w:rsidTr="00E7561C">
        <w:trPr>
          <w:trHeight w:val="286"/>
        </w:trPr>
        <w:tc>
          <w:tcPr>
            <w:tcW w:w="9322" w:type="dxa"/>
            <w:gridSpan w:val="2"/>
          </w:tcPr>
          <w:p w14:paraId="5752171F" w14:textId="471078C7" w:rsidR="00CA2D4F" w:rsidRPr="00CA2D4F" w:rsidRDefault="00CA2D4F" w:rsidP="00E7561C">
            <w:r w:rsidRPr="00CA2D4F">
              <w:rPr>
                <w:b/>
              </w:rPr>
              <w:t>Počet kreditov:</w:t>
            </w:r>
            <w:r w:rsidRPr="00CA2D4F">
              <w:rPr>
                <w:i/>
              </w:rPr>
              <w:t xml:space="preserve"> </w:t>
            </w:r>
            <w:r w:rsidRPr="00CA2D4F">
              <w:rPr>
                <w:iCs/>
              </w:rPr>
              <w:t>2 credits</w:t>
            </w:r>
          </w:p>
        </w:tc>
      </w:tr>
      <w:tr w:rsidR="00CA2D4F" w:rsidRPr="00CA2D4F" w14:paraId="6A4655BA" w14:textId="77777777" w:rsidTr="00E7561C">
        <w:tc>
          <w:tcPr>
            <w:tcW w:w="9322" w:type="dxa"/>
            <w:gridSpan w:val="2"/>
          </w:tcPr>
          <w:p w14:paraId="5CA969A2" w14:textId="77777777" w:rsidR="00CA2D4F" w:rsidRPr="00CA2D4F" w:rsidRDefault="00CA2D4F" w:rsidP="00E7561C">
            <w:pPr>
              <w:rPr>
                <w:i/>
              </w:rPr>
            </w:pPr>
            <w:r w:rsidRPr="00CA2D4F">
              <w:rPr>
                <w:b/>
              </w:rPr>
              <w:t>Odporúčaný semester/trimester štúdia:</w:t>
            </w:r>
            <w:r w:rsidRPr="00CA2D4F">
              <w:t xml:space="preserve"> semester</w:t>
            </w:r>
          </w:p>
        </w:tc>
      </w:tr>
      <w:tr w:rsidR="00CA2D4F" w:rsidRPr="00CA2D4F" w14:paraId="4ED2EEBF" w14:textId="77777777" w:rsidTr="00E7561C">
        <w:tc>
          <w:tcPr>
            <w:tcW w:w="9322" w:type="dxa"/>
            <w:gridSpan w:val="2"/>
          </w:tcPr>
          <w:p w14:paraId="2753A44D" w14:textId="77777777" w:rsidR="00CA2D4F" w:rsidRPr="00CA2D4F" w:rsidRDefault="00CA2D4F" w:rsidP="00E7561C">
            <w:r w:rsidRPr="00CA2D4F">
              <w:rPr>
                <w:b/>
              </w:rPr>
              <w:t>Stupeň štúdia:</w:t>
            </w:r>
            <w:r w:rsidRPr="00CA2D4F">
              <w:t xml:space="preserve"> Bachelor’s Degree students (1)</w:t>
            </w:r>
            <w:r w:rsidRPr="00CA2D4F">
              <w:rPr>
                <w:i/>
              </w:rPr>
              <w:t xml:space="preserve"> </w:t>
            </w:r>
          </w:p>
        </w:tc>
      </w:tr>
      <w:tr w:rsidR="00CA2D4F" w:rsidRPr="00CA2D4F" w14:paraId="4F55A26A" w14:textId="77777777" w:rsidTr="00E7561C">
        <w:tc>
          <w:tcPr>
            <w:tcW w:w="9322" w:type="dxa"/>
            <w:gridSpan w:val="2"/>
          </w:tcPr>
          <w:p w14:paraId="0D1DE7E3" w14:textId="77777777" w:rsidR="00CA2D4F" w:rsidRPr="00CA2D4F" w:rsidRDefault="00CA2D4F" w:rsidP="00E7561C">
            <w:pPr>
              <w:rPr>
                <w:i/>
              </w:rPr>
            </w:pPr>
            <w:r w:rsidRPr="00CA2D4F">
              <w:rPr>
                <w:b/>
              </w:rPr>
              <w:t>Podmieňujúce predmety:</w:t>
            </w:r>
            <w:r w:rsidRPr="00CA2D4F">
              <w:t xml:space="preserve"> no prerequisite </w:t>
            </w:r>
          </w:p>
        </w:tc>
      </w:tr>
      <w:tr w:rsidR="00CA2D4F" w:rsidRPr="00CA2D4F" w14:paraId="1C3F83DD" w14:textId="77777777" w:rsidTr="00E7561C">
        <w:tc>
          <w:tcPr>
            <w:tcW w:w="9322" w:type="dxa"/>
            <w:gridSpan w:val="2"/>
          </w:tcPr>
          <w:p w14:paraId="2344AA21" w14:textId="3BE4B94B" w:rsidR="00CA2D4F" w:rsidRPr="00CA2D4F" w:rsidRDefault="00CA2D4F" w:rsidP="00E7561C">
            <w:r w:rsidRPr="00CA2D4F">
              <w:rPr>
                <w:b/>
              </w:rPr>
              <w:t>Podmienky na absolvovanie predmetu:</w:t>
            </w:r>
            <w:r w:rsidRPr="00CA2D4F">
              <w:t xml:space="preserve"> Active participation based upon class readings is absolutely necessary and therefore accounts for fifty percent of the overall grade.  Two written essays will each account for ten percent of the overall grade.  Each student will conduct analysis-based research on a particular part of Chinese or Japanese history and present their findings to their classmates; this will account for thirty percent of their overall grade.  The grading scale is as follows: A – excellent: 100-93%; B – very good: 92-84%; C – good: 83-74%; D – satisfactory: 73-63%; E – sufficient: 62-51%; Fx – fail: 50-0%.</w:t>
            </w:r>
          </w:p>
        </w:tc>
      </w:tr>
      <w:tr w:rsidR="00CA2D4F" w:rsidRPr="00CA2D4F" w14:paraId="1A0768DF" w14:textId="77777777" w:rsidTr="00E7561C">
        <w:tc>
          <w:tcPr>
            <w:tcW w:w="9322" w:type="dxa"/>
            <w:gridSpan w:val="2"/>
          </w:tcPr>
          <w:p w14:paraId="4BB280E3" w14:textId="522022F3" w:rsidR="00CA2D4F" w:rsidRPr="00CA2D4F" w:rsidRDefault="00CA2D4F" w:rsidP="00E7561C">
            <w:pPr>
              <w:rPr>
                <w:sz w:val="20"/>
                <w:szCs w:val="22"/>
                <w:lang w:eastAsia="en-US"/>
              </w:rPr>
            </w:pPr>
            <w:r w:rsidRPr="00CA2D4F">
              <w:rPr>
                <w:b/>
              </w:rPr>
              <w:t>Výsledky vzdelávania:</w:t>
            </w:r>
            <w:r w:rsidRPr="00CA2D4F">
              <w:rPr>
                <w:i/>
              </w:rPr>
              <w:t xml:space="preserve"> </w:t>
            </w:r>
            <w:r w:rsidRPr="00CA2D4F">
              <w:t>The aim of this pop-up course is to give students an understanding of how Japanese and Chinese history are intertwined with their cultural</w:t>
            </w:r>
            <w:r w:rsidR="00311FF7">
              <w:t xml:space="preserve">, religious, and philosophical foundations.  This will allow students to better grasp how China and Japan thrived during the Ming and Tokugawa eras, modernized during the Qing and Meiji eras, and weathered occupations and revolutions before becoming global economic powerhouses.  </w:t>
            </w:r>
            <w:r w:rsidRPr="00CA2D4F">
              <w:t xml:space="preserve">Along with increased historical understanding, students will cultivate better critical thinking and analytical skills that can be applied in a range of academic and practical settings.   </w:t>
            </w:r>
          </w:p>
        </w:tc>
      </w:tr>
      <w:tr w:rsidR="00CA2D4F" w:rsidRPr="00CA2D4F" w14:paraId="553780B3" w14:textId="77777777" w:rsidTr="00E7561C">
        <w:tc>
          <w:tcPr>
            <w:tcW w:w="9322" w:type="dxa"/>
            <w:gridSpan w:val="2"/>
          </w:tcPr>
          <w:p w14:paraId="294EF5C6" w14:textId="579C62DB" w:rsidR="00CA2D4F" w:rsidRPr="00CA2D4F" w:rsidRDefault="00CA2D4F" w:rsidP="00E7561C">
            <w:pPr>
              <w:rPr>
                <w:sz w:val="20"/>
                <w:szCs w:val="22"/>
                <w:lang w:eastAsia="en-US"/>
              </w:rPr>
            </w:pPr>
            <w:r w:rsidRPr="00CA2D4F">
              <w:rPr>
                <w:b/>
              </w:rPr>
              <w:t>Stručná osnova predmetu:</w:t>
            </w:r>
            <w:r w:rsidRPr="00CA2D4F">
              <w:t xml:space="preserve"> </w:t>
            </w:r>
            <w:r w:rsidR="00311FF7">
              <w:t>Chinese Religious and Philosophical Foundations, Ming China, Japanese Religious and Philosophical Foundations, Warring States Period, Tokugawa Japan, Qing China, Meiji Japan, Republic of China, Chinese Civil War, Japanese Empire, People’s Republic of China, Republic of China, Modern China, Modern Japan</w:t>
            </w:r>
          </w:p>
        </w:tc>
      </w:tr>
      <w:tr w:rsidR="00CA2D4F" w:rsidRPr="00CA2D4F" w14:paraId="299F4FCC" w14:textId="77777777" w:rsidTr="00E7561C">
        <w:tc>
          <w:tcPr>
            <w:tcW w:w="9322" w:type="dxa"/>
            <w:gridSpan w:val="2"/>
          </w:tcPr>
          <w:p w14:paraId="4D512FB7" w14:textId="77777777" w:rsidR="00CA2D4F" w:rsidRPr="002952CD" w:rsidRDefault="00CA2D4F" w:rsidP="002952CD">
            <w:pPr>
              <w:rPr>
                <w:i/>
              </w:rPr>
            </w:pPr>
            <w:r w:rsidRPr="002952CD">
              <w:rPr>
                <w:b/>
              </w:rPr>
              <w:t>Odporúčaná literatúra:</w:t>
            </w:r>
            <w:r w:rsidRPr="002952CD">
              <w:rPr>
                <w:i/>
              </w:rPr>
              <w:t xml:space="preserve"> </w:t>
            </w:r>
          </w:p>
          <w:p w14:paraId="2FD7B07A" w14:textId="4A1B69DB" w:rsidR="00C337A3" w:rsidRPr="002952CD" w:rsidRDefault="00C337A3" w:rsidP="00C337A3">
            <w:r w:rsidRPr="002952CD">
              <w:t>Brown, Clayton D. “China’s Great Leap Forward</w:t>
            </w:r>
            <w:r w:rsidRPr="002952CD">
              <w:rPr>
                <w:i/>
                <w:iCs/>
              </w:rPr>
              <w:t>.” Education about Asia</w:t>
            </w:r>
            <w:r w:rsidRPr="002952CD">
              <w:t xml:space="preserve">, vol. 17, no. 3, </w:t>
            </w:r>
            <w:r>
              <w:br/>
              <w:t xml:space="preserve">        </w:t>
            </w:r>
            <w:r w:rsidRPr="002952CD">
              <w:t>Winter. (2012)</w:t>
            </w:r>
          </w:p>
          <w:p w14:paraId="2DBBA131" w14:textId="7ADA3933" w:rsidR="00C337A3" w:rsidRDefault="00C337A3" w:rsidP="00C337A3">
            <w:r w:rsidRPr="002952CD">
              <w:t xml:space="preserve">Doshi, Rush. “Hu’s to Blame for China’s Foreign Assertiveness?” </w:t>
            </w:r>
            <w:r w:rsidRPr="002952CD">
              <w:rPr>
                <w:i/>
                <w:iCs/>
              </w:rPr>
              <w:t>The Brookings Institution</w:t>
            </w:r>
            <w:r w:rsidRPr="002952CD">
              <w:t xml:space="preserve">, </w:t>
            </w:r>
            <w:r>
              <w:br/>
              <w:t xml:space="preserve">        </w:t>
            </w:r>
            <w:r w:rsidRPr="002952CD">
              <w:t>(2019)</w:t>
            </w:r>
          </w:p>
          <w:p w14:paraId="3C5D24A4" w14:textId="4D5191D6" w:rsidR="00311FF7" w:rsidRPr="002952CD" w:rsidRDefault="00311FF7" w:rsidP="002952CD">
            <w:pPr>
              <w:rPr>
                <w:i/>
                <w:iCs/>
              </w:rPr>
            </w:pPr>
            <w:r w:rsidRPr="002952CD">
              <w:t xml:space="preserve">Henshall, Kenneth G. </w:t>
            </w:r>
            <w:r w:rsidRPr="002952CD">
              <w:rPr>
                <w:i/>
                <w:iCs/>
              </w:rPr>
              <w:t xml:space="preserve">A History of Japan: From Stone Age to Superpower. </w:t>
            </w:r>
            <w:r w:rsidRPr="002952CD">
              <w:t xml:space="preserve">(Palgrave </w:t>
            </w:r>
            <w:r w:rsidR="00C337A3">
              <w:br/>
              <w:t xml:space="preserve">         </w:t>
            </w:r>
            <w:r w:rsidRPr="002952CD">
              <w:t>MacMillan, 2012)</w:t>
            </w:r>
          </w:p>
          <w:p w14:paraId="2E661890" w14:textId="564B8B7F" w:rsidR="00C337A3" w:rsidRDefault="00C337A3" w:rsidP="00C337A3">
            <w:r w:rsidRPr="002952CD">
              <w:rPr>
                <w:i/>
                <w:iCs/>
              </w:rPr>
              <w:t>Japan: A Documentary History: The Dawn of History to the Late Tokugawa Period</w:t>
            </w:r>
            <w:r>
              <w:t xml:space="preserve"> </w:t>
            </w:r>
            <w:r w:rsidRPr="002952CD">
              <w:t>edited</w:t>
            </w:r>
            <w:r>
              <w:t xml:space="preserve"> </w:t>
            </w:r>
            <w:r w:rsidRPr="002952CD">
              <w:t>by</w:t>
            </w:r>
            <w:r>
              <w:t xml:space="preserve"> </w:t>
            </w:r>
            <w:r>
              <w:br/>
              <w:t xml:space="preserve">         </w:t>
            </w:r>
            <w:r w:rsidRPr="002952CD">
              <w:t>David J.</w:t>
            </w:r>
            <w:r>
              <w:t xml:space="preserve"> </w:t>
            </w:r>
            <w:r w:rsidRPr="002952CD">
              <w:t>Lu (Armonk,</w:t>
            </w:r>
            <w:r>
              <w:t xml:space="preserve"> </w:t>
            </w:r>
            <w:r w:rsidRPr="002952CD">
              <w:t>New York:</w:t>
            </w:r>
            <w:r>
              <w:t xml:space="preserve"> </w:t>
            </w:r>
            <w:r w:rsidRPr="002952CD">
              <w:t>M.</w:t>
            </w:r>
            <w:r>
              <w:t xml:space="preserve"> </w:t>
            </w:r>
            <w:r w:rsidRPr="002952CD">
              <w:t>E.</w:t>
            </w:r>
            <w:r>
              <w:t xml:space="preserve"> </w:t>
            </w:r>
            <w:r w:rsidRPr="002952CD">
              <w:t>Sharpe,</w:t>
            </w:r>
            <w:r>
              <w:t xml:space="preserve"> </w:t>
            </w:r>
            <w:r w:rsidRPr="002952CD">
              <w:t>2001)</w:t>
            </w:r>
            <w:r>
              <w:t xml:space="preserve"> </w:t>
            </w:r>
          </w:p>
          <w:p w14:paraId="3E2786CC" w14:textId="4600F93B" w:rsidR="00C337A3" w:rsidRDefault="00C337A3" w:rsidP="00C337A3">
            <w:r>
              <w:t>“Japan: The God-Emperor.” TIME Magazine, 1945</w:t>
            </w:r>
          </w:p>
          <w:p w14:paraId="138E4C5B" w14:textId="1249172C" w:rsidR="00C337A3" w:rsidRPr="002952CD" w:rsidRDefault="00C337A3" w:rsidP="00C337A3">
            <w:r w:rsidRPr="002952CD">
              <w:t xml:space="preserve">Keo, Bernard Z. “Crossing the River by Feeling the Stones: Deng Xiaoping in the Making of </w:t>
            </w:r>
            <w:r>
              <w:br/>
              <w:t xml:space="preserve">         </w:t>
            </w:r>
            <w:r w:rsidRPr="002952CD">
              <w:t>Modern China</w:t>
            </w:r>
            <w:r w:rsidRPr="002952CD">
              <w:rPr>
                <w:i/>
                <w:iCs/>
              </w:rPr>
              <w:t>.” Education about Asia</w:t>
            </w:r>
            <w:r w:rsidRPr="002952CD">
              <w:t>, vol. 25, no. 2, Fall. (2020)</w:t>
            </w:r>
          </w:p>
          <w:p w14:paraId="5DE3A500" w14:textId="46EAF3D9" w:rsidR="00C337A3" w:rsidRPr="002952CD" w:rsidRDefault="00C337A3" w:rsidP="00C337A3">
            <w:r>
              <w:t xml:space="preserve">Liu, Xinran. “The Impact of the US Occupation on Japanese Politics and Economy after the </w:t>
            </w:r>
            <w:r>
              <w:br/>
              <w:t xml:space="preserve">         End of World War II.” (</w:t>
            </w:r>
            <w:r w:rsidRPr="00C337A3">
              <w:rPr>
                <w:i/>
                <w:iCs/>
              </w:rPr>
              <w:t>ICPRSS Conference</w:t>
            </w:r>
            <w:r>
              <w:t>, Chongqing, China, 2022)</w:t>
            </w:r>
          </w:p>
          <w:p w14:paraId="7BEDC1AF" w14:textId="212E9A95" w:rsidR="00235700" w:rsidRPr="002952CD" w:rsidRDefault="00235700" w:rsidP="002952CD">
            <w:r w:rsidRPr="002952CD">
              <w:t xml:space="preserve">Mahmood, Naazir. </w:t>
            </w:r>
            <w:r w:rsidRPr="002952CD">
              <w:rPr>
                <w:i/>
                <w:iCs/>
              </w:rPr>
              <w:t xml:space="preserve">China Before Jiang Zemin. </w:t>
            </w:r>
            <w:r w:rsidRPr="002952CD">
              <w:t xml:space="preserve">(“Discourse 2023”, Pakistan Development </w:t>
            </w:r>
            <w:r w:rsidR="00C337A3">
              <w:br/>
              <w:t xml:space="preserve">         </w:t>
            </w:r>
            <w:r w:rsidRPr="002952CD">
              <w:t>Institute of Economics, 2023)</w:t>
            </w:r>
          </w:p>
          <w:p w14:paraId="0D77CCF1" w14:textId="77777777" w:rsidR="00C337A3" w:rsidRPr="002952CD" w:rsidRDefault="00C337A3" w:rsidP="00C337A3">
            <w:r w:rsidRPr="002952CD">
              <w:t xml:space="preserve">Rossabi, Morris. </w:t>
            </w:r>
            <w:r w:rsidRPr="002952CD">
              <w:rPr>
                <w:i/>
                <w:iCs/>
              </w:rPr>
              <w:t>A History of China</w:t>
            </w:r>
            <w:r w:rsidRPr="002952CD">
              <w:t>. (Wiley Blackwell, 2021)</w:t>
            </w:r>
          </w:p>
          <w:p w14:paraId="692FD5CC" w14:textId="607AFD4B" w:rsidR="00C337A3" w:rsidRDefault="00C337A3" w:rsidP="00C337A3">
            <w:pPr>
              <w:rPr>
                <w:lang w:eastAsia="zh-CN"/>
              </w:rPr>
            </w:pPr>
            <w:r w:rsidRPr="002952CD">
              <w:rPr>
                <w:i/>
                <w:lang w:eastAsia="zh-CN"/>
              </w:rPr>
              <w:lastRenderedPageBreak/>
              <w:t xml:space="preserve">Sources of Chinese Tradition: From 1600 Through the Twentieth Century, </w:t>
            </w:r>
            <w:r w:rsidRPr="002952CD">
              <w:rPr>
                <w:lang w:eastAsia="zh-CN"/>
              </w:rPr>
              <w:t xml:space="preserve">compiled by Wm. </w:t>
            </w:r>
            <w:r>
              <w:rPr>
                <w:lang w:eastAsia="zh-CN"/>
              </w:rPr>
              <w:br/>
              <w:t xml:space="preserve">         </w:t>
            </w:r>
            <w:r w:rsidRPr="002952CD">
              <w:rPr>
                <w:lang w:eastAsia="zh-CN"/>
              </w:rPr>
              <w:t>Theodore de Bary and Richard Lufrano, 2</w:t>
            </w:r>
            <w:r w:rsidRPr="002952CD">
              <w:rPr>
                <w:vertAlign w:val="superscript"/>
                <w:lang w:eastAsia="zh-CN"/>
              </w:rPr>
              <w:t>nd</w:t>
            </w:r>
            <w:r w:rsidRPr="002952CD">
              <w:rPr>
                <w:lang w:eastAsia="zh-CN"/>
              </w:rPr>
              <w:t xml:space="preserve"> ed., vol. 2 (New York: Columbia University </w:t>
            </w:r>
            <w:r>
              <w:rPr>
                <w:lang w:eastAsia="zh-CN"/>
              </w:rPr>
              <w:br/>
              <w:t xml:space="preserve">         </w:t>
            </w:r>
            <w:r w:rsidRPr="002952CD">
              <w:rPr>
                <w:lang w:eastAsia="zh-CN"/>
              </w:rPr>
              <w:t xml:space="preserve">Press, 2000) </w:t>
            </w:r>
          </w:p>
          <w:p w14:paraId="2A8774F9" w14:textId="5A42F33E" w:rsidR="0070535F" w:rsidRPr="002952CD" w:rsidRDefault="0070535F" w:rsidP="002952CD">
            <w:r w:rsidRPr="002952CD">
              <w:t xml:space="preserve">Watts, Jonathan. “Japan’s revisionists turn emperor into a god once more.” </w:t>
            </w:r>
            <w:r w:rsidRPr="002952CD">
              <w:rPr>
                <w:i/>
                <w:iCs/>
              </w:rPr>
              <w:t xml:space="preserve">The Guardian </w:t>
            </w:r>
            <w:r w:rsidR="00C337A3">
              <w:rPr>
                <w:i/>
                <w:iCs/>
              </w:rPr>
              <w:br/>
              <w:t xml:space="preserve">         </w:t>
            </w:r>
            <w:r w:rsidRPr="002952CD">
              <w:t>(2002)</w:t>
            </w:r>
          </w:p>
        </w:tc>
      </w:tr>
      <w:tr w:rsidR="00CA2D4F" w:rsidRPr="00CA2D4F" w14:paraId="24EB685C" w14:textId="77777777" w:rsidTr="00E7561C">
        <w:tc>
          <w:tcPr>
            <w:tcW w:w="9322" w:type="dxa"/>
            <w:gridSpan w:val="2"/>
          </w:tcPr>
          <w:p w14:paraId="5FC508B1" w14:textId="77777777" w:rsidR="00CA2D4F" w:rsidRPr="00CA2D4F" w:rsidRDefault="00CA2D4F" w:rsidP="00E7561C">
            <w:pPr>
              <w:rPr>
                <w:i/>
              </w:rPr>
            </w:pPr>
            <w:r w:rsidRPr="00CA2D4F">
              <w:rPr>
                <w:b/>
              </w:rPr>
              <w:lastRenderedPageBreak/>
              <w:t>Jazyk, ktorého znalosť je potrebná na absolvovanie predmetu:</w:t>
            </w:r>
            <w:r w:rsidRPr="00CA2D4F">
              <w:t xml:space="preserve"> </w:t>
            </w:r>
            <w:r w:rsidRPr="00CA2D4F">
              <w:rPr>
                <w:iCs/>
              </w:rPr>
              <w:t>English</w:t>
            </w:r>
          </w:p>
        </w:tc>
      </w:tr>
      <w:tr w:rsidR="00CA2D4F" w:rsidRPr="00CA2D4F" w14:paraId="47F4A220" w14:textId="77777777" w:rsidTr="00E7561C">
        <w:tc>
          <w:tcPr>
            <w:tcW w:w="9322" w:type="dxa"/>
            <w:gridSpan w:val="2"/>
          </w:tcPr>
          <w:p w14:paraId="760F6723" w14:textId="77777777" w:rsidR="00CA2D4F" w:rsidRPr="00CA2D4F" w:rsidRDefault="00CA2D4F" w:rsidP="00E7561C">
            <w:pPr>
              <w:rPr>
                <w:i/>
              </w:rPr>
            </w:pPr>
            <w:r w:rsidRPr="00CA2D4F">
              <w:rPr>
                <w:b/>
              </w:rPr>
              <w:t>Poznámky:</w:t>
            </w:r>
            <w:r w:rsidRPr="00CA2D4F">
              <w:t xml:space="preserve"> </w:t>
            </w:r>
          </w:p>
        </w:tc>
      </w:tr>
      <w:tr w:rsidR="00CA2D4F" w:rsidRPr="00CA2D4F" w14:paraId="1CB312BC" w14:textId="77777777" w:rsidTr="00E7561C">
        <w:tc>
          <w:tcPr>
            <w:tcW w:w="9322" w:type="dxa"/>
            <w:gridSpan w:val="2"/>
          </w:tcPr>
          <w:p w14:paraId="0EFC7B92" w14:textId="77777777" w:rsidR="00CA2D4F" w:rsidRPr="00CA2D4F" w:rsidRDefault="00CA2D4F" w:rsidP="00E7561C">
            <w:pPr>
              <w:rPr>
                <w:b/>
              </w:rPr>
            </w:pPr>
            <w:r w:rsidRPr="00CA2D4F">
              <w:rPr>
                <w:b/>
              </w:rPr>
              <w:t>Hodnotenie predmetov</w:t>
            </w:r>
          </w:p>
          <w:p w14:paraId="071D50A2" w14:textId="77777777" w:rsidR="00CA2D4F" w:rsidRPr="00CA2D4F" w:rsidRDefault="00CA2D4F" w:rsidP="00E7561C">
            <w:r w:rsidRPr="00CA2D4F">
              <w:t>Celkový počet hodnotených študentov: 0</w:t>
            </w:r>
          </w:p>
          <w:tbl>
            <w:tblPr>
              <w:tblStyle w:val="Mriekatabuky"/>
              <w:tblW w:w="0" w:type="auto"/>
              <w:tblLook w:val="04A0" w:firstRow="1" w:lastRow="0" w:firstColumn="1" w:lastColumn="0" w:noHBand="0" w:noVBand="1"/>
            </w:tblPr>
            <w:tblGrid>
              <w:gridCol w:w="1496"/>
              <w:gridCol w:w="1497"/>
              <w:gridCol w:w="1497"/>
              <w:gridCol w:w="1497"/>
              <w:gridCol w:w="1497"/>
              <w:gridCol w:w="1497"/>
            </w:tblGrid>
            <w:tr w:rsidR="00CA2D4F" w:rsidRPr="00CA2D4F" w14:paraId="09707C90" w14:textId="77777777" w:rsidTr="00E7561C">
              <w:tc>
                <w:tcPr>
                  <w:tcW w:w="1496" w:type="dxa"/>
                  <w:tcBorders>
                    <w:top w:val="single" w:sz="4" w:space="0" w:color="auto"/>
                    <w:left w:val="single" w:sz="4" w:space="0" w:color="auto"/>
                    <w:bottom w:val="single" w:sz="4" w:space="0" w:color="auto"/>
                    <w:right w:val="single" w:sz="4" w:space="0" w:color="auto"/>
                  </w:tcBorders>
                </w:tcPr>
                <w:p w14:paraId="0AAAF9FF" w14:textId="77777777" w:rsidR="00CA2D4F" w:rsidRPr="00CA2D4F" w:rsidRDefault="00CA2D4F" w:rsidP="00E7561C">
                  <w:pPr>
                    <w:jc w:val="center"/>
                  </w:pPr>
                  <w:r w:rsidRPr="00CA2D4F">
                    <w:t>A</w:t>
                  </w:r>
                </w:p>
              </w:tc>
              <w:tc>
                <w:tcPr>
                  <w:tcW w:w="1497" w:type="dxa"/>
                  <w:tcBorders>
                    <w:top w:val="single" w:sz="4" w:space="0" w:color="auto"/>
                    <w:left w:val="single" w:sz="4" w:space="0" w:color="auto"/>
                    <w:bottom w:val="single" w:sz="4" w:space="0" w:color="auto"/>
                    <w:right w:val="single" w:sz="4" w:space="0" w:color="auto"/>
                  </w:tcBorders>
                </w:tcPr>
                <w:p w14:paraId="5C456661" w14:textId="77777777" w:rsidR="00CA2D4F" w:rsidRPr="00CA2D4F" w:rsidRDefault="00CA2D4F" w:rsidP="00E7561C">
                  <w:pPr>
                    <w:jc w:val="center"/>
                  </w:pPr>
                  <w:r w:rsidRPr="00CA2D4F">
                    <w:t>B</w:t>
                  </w:r>
                </w:p>
              </w:tc>
              <w:tc>
                <w:tcPr>
                  <w:tcW w:w="1497" w:type="dxa"/>
                  <w:tcBorders>
                    <w:top w:val="single" w:sz="4" w:space="0" w:color="auto"/>
                    <w:left w:val="single" w:sz="4" w:space="0" w:color="auto"/>
                    <w:bottom w:val="single" w:sz="4" w:space="0" w:color="auto"/>
                    <w:right w:val="single" w:sz="4" w:space="0" w:color="auto"/>
                  </w:tcBorders>
                </w:tcPr>
                <w:p w14:paraId="6D7580A9" w14:textId="77777777" w:rsidR="00CA2D4F" w:rsidRPr="00CA2D4F" w:rsidRDefault="00CA2D4F" w:rsidP="00E7561C">
                  <w:pPr>
                    <w:jc w:val="center"/>
                  </w:pPr>
                  <w:r w:rsidRPr="00CA2D4F">
                    <w:t>C</w:t>
                  </w:r>
                </w:p>
              </w:tc>
              <w:tc>
                <w:tcPr>
                  <w:tcW w:w="1497" w:type="dxa"/>
                  <w:tcBorders>
                    <w:top w:val="single" w:sz="4" w:space="0" w:color="auto"/>
                    <w:left w:val="single" w:sz="4" w:space="0" w:color="auto"/>
                    <w:bottom w:val="single" w:sz="4" w:space="0" w:color="auto"/>
                    <w:right w:val="single" w:sz="4" w:space="0" w:color="auto"/>
                  </w:tcBorders>
                </w:tcPr>
                <w:p w14:paraId="4FD5C309" w14:textId="77777777" w:rsidR="00CA2D4F" w:rsidRPr="00CA2D4F" w:rsidRDefault="00CA2D4F" w:rsidP="00E7561C">
                  <w:pPr>
                    <w:jc w:val="center"/>
                  </w:pPr>
                  <w:r w:rsidRPr="00CA2D4F">
                    <w:t>D</w:t>
                  </w:r>
                </w:p>
              </w:tc>
              <w:tc>
                <w:tcPr>
                  <w:tcW w:w="1497" w:type="dxa"/>
                  <w:tcBorders>
                    <w:top w:val="single" w:sz="4" w:space="0" w:color="auto"/>
                    <w:left w:val="single" w:sz="4" w:space="0" w:color="auto"/>
                    <w:bottom w:val="single" w:sz="4" w:space="0" w:color="auto"/>
                    <w:right w:val="single" w:sz="4" w:space="0" w:color="auto"/>
                  </w:tcBorders>
                </w:tcPr>
                <w:p w14:paraId="56A822FC" w14:textId="77777777" w:rsidR="00CA2D4F" w:rsidRPr="00CA2D4F" w:rsidRDefault="00CA2D4F" w:rsidP="00E7561C">
                  <w:pPr>
                    <w:jc w:val="center"/>
                  </w:pPr>
                  <w:r w:rsidRPr="00CA2D4F">
                    <w:t>E</w:t>
                  </w:r>
                </w:p>
              </w:tc>
              <w:tc>
                <w:tcPr>
                  <w:tcW w:w="1497" w:type="dxa"/>
                  <w:tcBorders>
                    <w:top w:val="single" w:sz="4" w:space="0" w:color="auto"/>
                    <w:left w:val="single" w:sz="4" w:space="0" w:color="auto"/>
                    <w:bottom w:val="single" w:sz="4" w:space="0" w:color="auto"/>
                    <w:right w:val="single" w:sz="4" w:space="0" w:color="auto"/>
                  </w:tcBorders>
                </w:tcPr>
                <w:p w14:paraId="0B52FAE9" w14:textId="77777777" w:rsidR="00CA2D4F" w:rsidRPr="00CA2D4F" w:rsidRDefault="00CA2D4F" w:rsidP="00E7561C">
                  <w:pPr>
                    <w:jc w:val="center"/>
                  </w:pPr>
                  <w:r w:rsidRPr="00CA2D4F">
                    <w:t>FX</w:t>
                  </w:r>
                </w:p>
              </w:tc>
            </w:tr>
            <w:tr w:rsidR="00CA2D4F" w:rsidRPr="00CA2D4F" w14:paraId="056D1230" w14:textId="77777777" w:rsidTr="00E7561C">
              <w:tc>
                <w:tcPr>
                  <w:tcW w:w="1496" w:type="dxa"/>
                  <w:tcBorders>
                    <w:top w:val="single" w:sz="4" w:space="0" w:color="auto"/>
                    <w:left w:val="single" w:sz="4" w:space="0" w:color="auto"/>
                    <w:bottom w:val="single" w:sz="4" w:space="0" w:color="auto"/>
                    <w:right w:val="single" w:sz="4" w:space="0" w:color="auto"/>
                  </w:tcBorders>
                </w:tcPr>
                <w:p w14:paraId="3B675177" w14:textId="77777777" w:rsidR="00CA2D4F" w:rsidRPr="00CA2D4F" w:rsidRDefault="00CA2D4F" w:rsidP="00E7561C">
                  <w:pPr>
                    <w:jc w:val="center"/>
                  </w:pPr>
                  <w:r w:rsidRPr="00CA2D4F">
                    <w:t>a</w:t>
                  </w:r>
                </w:p>
              </w:tc>
              <w:tc>
                <w:tcPr>
                  <w:tcW w:w="1497" w:type="dxa"/>
                  <w:tcBorders>
                    <w:top w:val="single" w:sz="4" w:space="0" w:color="auto"/>
                    <w:left w:val="single" w:sz="4" w:space="0" w:color="auto"/>
                    <w:bottom w:val="single" w:sz="4" w:space="0" w:color="auto"/>
                    <w:right w:val="single" w:sz="4" w:space="0" w:color="auto"/>
                  </w:tcBorders>
                </w:tcPr>
                <w:p w14:paraId="05AD2211" w14:textId="77777777" w:rsidR="00CA2D4F" w:rsidRPr="00CA2D4F" w:rsidRDefault="00CA2D4F" w:rsidP="00E7561C">
                  <w:pPr>
                    <w:jc w:val="center"/>
                  </w:pPr>
                  <w:r w:rsidRPr="00CA2D4F">
                    <w:t>b</w:t>
                  </w:r>
                </w:p>
              </w:tc>
              <w:tc>
                <w:tcPr>
                  <w:tcW w:w="1497" w:type="dxa"/>
                  <w:tcBorders>
                    <w:top w:val="single" w:sz="4" w:space="0" w:color="auto"/>
                    <w:left w:val="single" w:sz="4" w:space="0" w:color="auto"/>
                    <w:bottom w:val="single" w:sz="4" w:space="0" w:color="auto"/>
                    <w:right w:val="single" w:sz="4" w:space="0" w:color="auto"/>
                  </w:tcBorders>
                </w:tcPr>
                <w:p w14:paraId="5E00A5DD" w14:textId="77777777" w:rsidR="00CA2D4F" w:rsidRPr="00CA2D4F" w:rsidRDefault="00CA2D4F" w:rsidP="00E7561C">
                  <w:pPr>
                    <w:jc w:val="center"/>
                  </w:pPr>
                  <w:r w:rsidRPr="00CA2D4F">
                    <w:t>c</w:t>
                  </w:r>
                </w:p>
              </w:tc>
              <w:tc>
                <w:tcPr>
                  <w:tcW w:w="1497" w:type="dxa"/>
                  <w:tcBorders>
                    <w:top w:val="single" w:sz="4" w:space="0" w:color="auto"/>
                    <w:left w:val="single" w:sz="4" w:space="0" w:color="auto"/>
                    <w:bottom w:val="single" w:sz="4" w:space="0" w:color="auto"/>
                    <w:right w:val="single" w:sz="4" w:space="0" w:color="auto"/>
                  </w:tcBorders>
                </w:tcPr>
                <w:p w14:paraId="59E7F842" w14:textId="77777777" w:rsidR="00CA2D4F" w:rsidRPr="00CA2D4F" w:rsidRDefault="00CA2D4F" w:rsidP="00E7561C">
                  <w:pPr>
                    <w:jc w:val="center"/>
                  </w:pPr>
                  <w:r w:rsidRPr="00CA2D4F">
                    <w:t>d</w:t>
                  </w:r>
                </w:p>
              </w:tc>
              <w:tc>
                <w:tcPr>
                  <w:tcW w:w="1497" w:type="dxa"/>
                  <w:tcBorders>
                    <w:top w:val="single" w:sz="4" w:space="0" w:color="auto"/>
                    <w:left w:val="single" w:sz="4" w:space="0" w:color="auto"/>
                    <w:bottom w:val="single" w:sz="4" w:space="0" w:color="auto"/>
                    <w:right w:val="single" w:sz="4" w:space="0" w:color="auto"/>
                  </w:tcBorders>
                </w:tcPr>
                <w:p w14:paraId="332BE82D" w14:textId="77777777" w:rsidR="00CA2D4F" w:rsidRPr="00CA2D4F" w:rsidRDefault="00CA2D4F" w:rsidP="00E7561C">
                  <w:pPr>
                    <w:jc w:val="center"/>
                  </w:pPr>
                  <w:r w:rsidRPr="00CA2D4F">
                    <w:t>e</w:t>
                  </w:r>
                </w:p>
              </w:tc>
              <w:tc>
                <w:tcPr>
                  <w:tcW w:w="1497" w:type="dxa"/>
                  <w:tcBorders>
                    <w:top w:val="single" w:sz="4" w:space="0" w:color="auto"/>
                    <w:left w:val="single" w:sz="4" w:space="0" w:color="auto"/>
                    <w:bottom w:val="single" w:sz="4" w:space="0" w:color="auto"/>
                    <w:right w:val="single" w:sz="4" w:space="0" w:color="auto"/>
                  </w:tcBorders>
                </w:tcPr>
                <w:p w14:paraId="3676C4EA" w14:textId="77777777" w:rsidR="00CA2D4F" w:rsidRPr="00CA2D4F" w:rsidRDefault="00CA2D4F" w:rsidP="00E7561C">
                  <w:pPr>
                    <w:jc w:val="center"/>
                  </w:pPr>
                  <w:r w:rsidRPr="00CA2D4F">
                    <w:t>f</w:t>
                  </w:r>
                </w:p>
              </w:tc>
            </w:tr>
          </w:tbl>
          <w:p w14:paraId="445F725C" w14:textId="77777777" w:rsidR="00CA2D4F" w:rsidRPr="00CA2D4F" w:rsidRDefault="00CA2D4F" w:rsidP="00E7561C">
            <w:pPr>
              <w:rPr>
                <w:i/>
              </w:rPr>
            </w:pPr>
            <w:r w:rsidRPr="00CA2D4F">
              <w:rPr>
                <w:i/>
              </w:rPr>
              <w:t>Uvádza sa percentuálny podiel hodnotených študentov, ktorí získali po zapísaní predmetu hodnotenie A, B, ... FX. Celkový súčet a, b, c, d, e, f je 100. Ak študent v jednom roku získal FX a po ďalšom zapísaní predmetu hodnotenie D, zohľadnia sa obe jeho hodnotenia.</w:t>
            </w:r>
          </w:p>
        </w:tc>
      </w:tr>
      <w:tr w:rsidR="00CA2D4F" w:rsidRPr="00CA2D4F" w14:paraId="35459F80" w14:textId="77777777" w:rsidTr="00E7561C">
        <w:tc>
          <w:tcPr>
            <w:tcW w:w="9322" w:type="dxa"/>
            <w:gridSpan w:val="2"/>
          </w:tcPr>
          <w:p w14:paraId="1CE26B93" w14:textId="77777777" w:rsidR="00CA2D4F" w:rsidRPr="00CA2D4F" w:rsidRDefault="00CA2D4F" w:rsidP="00E7561C">
            <w:pPr>
              <w:tabs>
                <w:tab w:val="left" w:pos="1530"/>
              </w:tabs>
            </w:pPr>
            <w:r w:rsidRPr="00CA2D4F">
              <w:rPr>
                <w:b/>
              </w:rPr>
              <w:t>Vyučujúci:</w:t>
            </w:r>
            <w:r w:rsidRPr="00CA2D4F">
              <w:t xml:space="preserve"> Lucas Andrew Sprouse, MAHR</w:t>
            </w:r>
          </w:p>
        </w:tc>
      </w:tr>
      <w:tr w:rsidR="00CA2D4F" w:rsidRPr="00CA2D4F" w14:paraId="0E958156" w14:textId="77777777" w:rsidTr="00E7561C">
        <w:tc>
          <w:tcPr>
            <w:tcW w:w="9322" w:type="dxa"/>
            <w:gridSpan w:val="2"/>
          </w:tcPr>
          <w:p w14:paraId="4B04B4B6" w14:textId="5D79C109" w:rsidR="00CA2D4F" w:rsidRPr="00CA2D4F" w:rsidRDefault="00CA2D4F" w:rsidP="00E7561C">
            <w:pPr>
              <w:tabs>
                <w:tab w:val="left" w:pos="1530"/>
              </w:tabs>
            </w:pPr>
            <w:r w:rsidRPr="00CA2D4F">
              <w:rPr>
                <w:b/>
              </w:rPr>
              <w:t>Dátum poslednej zmeny:</w:t>
            </w:r>
            <w:r w:rsidRPr="00CA2D4F">
              <w:t xml:space="preserve"> 15/2/2025</w:t>
            </w:r>
          </w:p>
        </w:tc>
      </w:tr>
      <w:tr w:rsidR="00CA2D4F" w:rsidRPr="00CA2D4F" w14:paraId="54CF8F10" w14:textId="77777777" w:rsidTr="00E7561C">
        <w:tc>
          <w:tcPr>
            <w:tcW w:w="9322" w:type="dxa"/>
            <w:gridSpan w:val="2"/>
          </w:tcPr>
          <w:p w14:paraId="188F8434" w14:textId="77777777" w:rsidR="00CA2D4F" w:rsidRPr="00CA2D4F" w:rsidRDefault="00CA2D4F" w:rsidP="00E7561C">
            <w:pPr>
              <w:tabs>
                <w:tab w:val="left" w:pos="1530"/>
              </w:tabs>
              <w:rPr>
                <w:i/>
              </w:rPr>
            </w:pPr>
            <w:r w:rsidRPr="00CA2D4F">
              <w:rPr>
                <w:b/>
              </w:rPr>
              <w:t>Schválil:</w:t>
            </w:r>
            <w:r w:rsidRPr="00CA2D4F">
              <w:t xml:space="preserve"> </w:t>
            </w:r>
            <w:r w:rsidRPr="00CA2D4F">
              <w:rPr>
                <w:i/>
              </w:rPr>
              <w:t xml:space="preserve"> </w:t>
            </w:r>
          </w:p>
        </w:tc>
      </w:tr>
    </w:tbl>
    <w:p w14:paraId="39B0404A" w14:textId="77777777" w:rsidR="00CA2D4F" w:rsidRPr="00CA2D4F" w:rsidRDefault="00CA2D4F" w:rsidP="00CA2D4F"/>
    <w:p w14:paraId="73BA660E" w14:textId="77777777" w:rsidR="00AE6F9E" w:rsidRDefault="00AE6F9E"/>
    <w:sectPr w:rsidR="00AE6F9E" w:rsidSect="00CA2D4F">
      <w:headerReference w:type="default" r:id="rId7"/>
      <w:footerReference w:type="default" r:id="rId8"/>
      <w:headerReference w:type="first" r:id="rId9"/>
      <w:footerReference w:type="first" r:id="rId10"/>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D5055" w14:textId="77777777" w:rsidR="0010181C" w:rsidRDefault="0010181C">
      <w:r>
        <w:separator/>
      </w:r>
    </w:p>
  </w:endnote>
  <w:endnote w:type="continuationSeparator" w:id="0">
    <w:p w14:paraId="41B1D9D5" w14:textId="77777777" w:rsidR="0010181C" w:rsidRDefault="0010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7F732" w14:textId="77777777" w:rsidR="00B3109F" w:rsidRPr="00CA2D4F" w:rsidRDefault="00000000">
    <w:pPr>
      <w:pStyle w:val="Pta"/>
      <w:jc w:val="right"/>
    </w:pPr>
    <w:r w:rsidRPr="00CA2D4F">
      <w:fldChar w:fldCharType="begin"/>
    </w:r>
    <w:r w:rsidRPr="00CA2D4F">
      <w:instrText>PAGE   \* MERGEFORMAT</w:instrText>
    </w:r>
    <w:r w:rsidRPr="00CA2D4F">
      <w:fldChar w:fldCharType="separate"/>
    </w:r>
    <w:r w:rsidRPr="00CA2D4F">
      <w:t>2</w:t>
    </w:r>
    <w:r w:rsidRPr="00CA2D4F">
      <w:fldChar w:fldCharType="end"/>
    </w:r>
  </w:p>
  <w:p w14:paraId="77E30E94" w14:textId="77777777" w:rsidR="00B3109F" w:rsidRPr="00CA2D4F" w:rsidRDefault="00B3109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2DA8" w14:textId="77777777" w:rsidR="00B3109F" w:rsidRPr="00CA2D4F" w:rsidRDefault="00000000">
    <w:pPr>
      <w:pStyle w:val="Pta"/>
      <w:jc w:val="right"/>
    </w:pPr>
    <w:r w:rsidRPr="00CA2D4F">
      <w:fldChar w:fldCharType="begin"/>
    </w:r>
    <w:r w:rsidRPr="00CA2D4F">
      <w:instrText>PAGE   \* MERGEFORMAT</w:instrText>
    </w:r>
    <w:r w:rsidRPr="00CA2D4F">
      <w:fldChar w:fldCharType="separate"/>
    </w:r>
    <w:r w:rsidRPr="00CA2D4F">
      <w:t>1</w:t>
    </w:r>
    <w:r w:rsidRPr="00CA2D4F">
      <w:fldChar w:fldCharType="end"/>
    </w:r>
  </w:p>
  <w:p w14:paraId="34CE419A" w14:textId="77777777" w:rsidR="00B3109F" w:rsidRPr="00CA2D4F" w:rsidRDefault="00B3109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74CA4" w14:textId="77777777" w:rsidR="0010181C" w:rsidRDefault="0010181C">
      <w:r>
        <w:separator/>
      </w:r>
    </w:p>
  </w:footnote>
  <w:footnote w:type="continuationSeparator" w:id="0">
    <w:p w14:paraId="04D4E87D" w14:textId="77777777" w:rsidR="0010181C" w:rsidRDefault="00101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F2ACE" w14:textId="77777777" w:rsidR="00B3109F" w:rsidRPr="00CA2D4F" w:rsidRDefault="00B3109F">
    <w:pPr>
      <w:pStyle w:val="Hlavika"/>
    </w:pPr>
  </w:p>
  <w:p w14:paraId="2A39E519" w14:textId="77777777" w:rsidR="00B3109F" w:rsidRPr="00CA2D4F" w:rsidRDefault="00B3109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ACE2F" w14:textId="77777777" w:rsidR="00B3109F" w:rsidRPr="00CA2D4F" w:rsidRDefault="00000000" w:rsidP="00524AED">
    <w:pPr>
      <w:widowControl w:val="0"/>
      <w:autoSpaceDE w:val="0"/>
      <w:autoSpaceDN w:val="0"/>
      <w:adjustRightInd w:val="0"/>
      <w:jc w:val="right"/>
      <w:rPr>
        <w:rFonts w:ascii="Arial" w:eastAsiaTheme="minorEastAsia" w:hAnsi="Arial" w:cs="Arial"/>
        <w:b/>
        <w:bCs/>
        <w:i/>
        <w:sz w:val="16"/>
        <w:szCs w:val="16"/>
      </w:rPr>
    </w:pPr>
    <w:r w:rsidRPr="00CA2D4F">
      <w:rPr>
        <w:rFonts w:ascii="Arial" w:eastAsiaTheme="minorEastAsia" w:hAnsi="Arial" w:cs="Arial"/>
        <w:b/>
        <w:bCs/>
        <w:i/>
        <w:sz w:val="16"/>
        <w:szCs w:val="16"/>
      </w:rPr>
      <w:t xml:space="preserve">Príloha č. 1 k vyhláške MŠVVaŠ SR č. 155/2013 Z. z., ktorou sa mení a dopĺňa vyhláška MŠVVaŠ SR č. </w:t>
    </w:r>
    <w:hyperlink r:id="rId1" w:history="1">
      <w:r w:rsidR="00B3109F" w:rsidRPr="00CA2D4F">
        <w:rPr>
          <w:rFonts w:ascii="Arial" w:eastAsiaTheme="minorEastAsia" w:hAnsi="Arial" w:cs="Arial"/>
          <w:b/>
          <w:bCs/>
          <w:i/>
          <w:sz w:val="16"/>
          <w:szCs w:val="16"/>
        </w:rPr>
        <w:t>614/2002 Z. z.</w:t>
      </w:r>
    </w:hyperlink>
  </w:p>
  <w:p w14:paraId="07B4C688" w14:textId="77777777" w:rsidR="00B3109F" w:rsidRPr="00CA2D4F" w:rsidRDefault="00000000" w:rsidP="00524AED">
    <w:pPr>
      <w:widowControl w:val="0"/>
      <w:autoSpaceDE w:val="0"/>
      <w:autoSpaceDN w:val="0"/>
      <w:adjustRightInd w:val="0"/>
      <w:jc w:val="right"/>
      <w:rPr>
        <w:rFonts w:ascii="Arial" w:eastAsiaTheme="minorEastAsia" w:hAnsi="Arial" w:cs="Arial"/>
        <w:b/>
        <w:bCs/>
        <w:i/>
        <w:sz w:val="16"/>
        <w:szCs w:val="16"/>
      </w:rPr>
    </w:pPr>
    <w:r w:rsidRPr="00CA2D4F">
      <w:rPr>
        <w:rFonts w:ascii="Arial" w:eastAsiaTheme="minorEastAsia" w:hAnsi="Arial" w:cs="Arial"/>
        <w:b/>
        <w:bCs/>
        <w:i/>
        <w:sz w:val="16"/>
        <w:szCs w:val="16"/>
      </w:rPr>
      <w:t>o kreditovom systéme štúdia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402CF2"/>
    <w:multiLevelType w:val="hybridMultilevel"/>
    <w:tmpl w:val="EEBAF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3990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4F"/>
    <w:rsid w:val="000D7615"/>
    <w:rsid w:val="0010181C"/>
    <w:rsid w:val="00143C3F"/>
    <w:rsid w:val="001A0562"/>
    <w:rsid w:val="0020170E"/>
    <w:rsid w:val="00235700"/>
    <w:rsid w:val="002952CD"/>
    <w:rsid w:val="002B3C65"/>
    <w:rsid w:val="002E6680"/>
    <w:rsid w:val="00311FF7"/>
    <w:rsid w:val="00385F3B"/>
    <w:rsid w:val="004E5EF4"/>
    <w:rsid w:val="004F0D05"/>
    <w:rsid w:val="005A1F27"/>
    <w:rsid w:val="006B1282"/>
    <w:rsid w:val="0070535F"/>
    <w:rsid w:val="007E7507"/>
    <w:rsid w:val="008142E6"/>
    <w:rsid w:val="00896A5A"/>
    <w:rsid w:val="008F2858"/>
    <w:rsid w:val="00AE3F3B"/>
    <w:rsid w:val="00AE6F9E"/>
    <w:rsid w:val="00B3109F"/>
    <w:rsid w:val="00C23BFB"/>
    <w:rsid w:val="00C337A3"/>
    <w:rsid w:val="00CA2D4F"/>
    <w:rsid w:val="00DC24ED"/>
    <w:rsid w:val="00EB606D"/>
    <w:rsid w:val="00EE0334"/>
    <w:rsid w:val="00F211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9B1E"/>
  <w15:chartTrackingRefBased/>
  <w15:docId w15:val="{E2E7D27D-3A02-4ADF-8044-0C113D24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A2D4F"/>
    <w:pPr>
      <w:spacing w:after="0" w:line="240" w:lineRule="auto"/>
    </w:pPr>
    <w:rPr>
      <w:rFonts w:ascii="Times New Roman" w:eastAsia="Times New Roman" w:hAnsi="Times New Roman" w:cs="Times New Roman"/>
      <w:sz w:val="24"/>
      <w:szCs w:val="24"/>
      <w:lang w:val="en-US" w:eastAsia="sk-SK"/>
    </w:rPr>
  </w:style>
  <w:style w:type="paragraph" w:styleId="Nadpis1">
    <w:name w:val="heading 1"/>
    <w:basedOn w:val="Normlny"/>
    <w:next w:val="Normlny"/>
    <w:link w:val="Nadpis1Char"/>
    <w:uiPriority w:val="9"/>
    <w:qFormat/>
    <w:rsid w:val="00CA2D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CA2D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CA2D4F"/>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CA2D4F"/>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CA2D4F"/>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CA2D4F"/>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CA2D4F"/>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CA2D4F"/>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CA2D4F"/>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A2D4F"/>
    <w:rPr>
      <w:rFonts w:asciiTheme="majorHAnsi" w:eastAsiaTheme="majorEastAsia" w:hAnsiTheme="majorHAnsi" w:cstheme="majorBidi"/>
      <w:color w:val="2F5496" w:themeColor="accent1" w:themeShade="BF"/>
      <w:sz w:val="40"/>
      <w:szCs w:val="40"/>
      <w:lang w:val="en-US"/>
    </w:rPr>
  </w:style>
  <w:style w:type="character" w:customStyle="1" w:styleId="Nadpis2Char">
    <w:name w:val="Nadpis 2 Char"/>
    <w:basedOn w:val="Predvolenpsmoodseku"/>
    <w:link w:val="Nadpis2"/>
    <w:uiPriority w:val="9"/>
    <w:semiHidden/>
    <w:rsid w:val="00CA2D4F"/>
    <w:rPr>
      <w:rFonts w:asciiTheme="majorHAnsi" w:eastAsiaTheme="majorEastAsia" w:hAnsiTheme="majorHAnsi" w:cstheme="majorBidi"/>
      <w:color w:val="2F5496" w:themeColor="accent1" w:themeShade="BF"/>
      <w:sz w:val="32"/>
      <w:szCs w:val="32"/>
      <w:lang w:val="en-US"/>
    </w:rPr>
  </w:style>
  <w:style w:type="character" w:customStyle="1" w:styleId="Nadpis3Char">
    <w:name w:val="Nadpis 3 Char"/>
    <w:basedOn w:val="Predvolenpsmoodseku"/>
    <w:link w:val="Nadpis3"/>
    <w:uiPriority w:val="9"/>
    <w:semiHidden/>
    <w:rsid w:val="00CA2D4F"/>
    <w:rPr>
      <w:rFonts w:eastAsiaTheme="majorEastAsia" w:cstheme="majorBidi"/>
      <w:color w:val="2F5496" w:themeColor="accent1" w:themeShade="BF"/>
      <w:sz w:val="28"/>
      <w:szCs w:val="28"/>
      <w:lang w:val="en-US"/>
    </w:rPr>
  </w:style>
  <w:style w:type="character" w:customStyle="1" w:styleId="Nadpis4Char">
    <w:name w:val="Nadpis 4 Char"/>
    <w:basedOn w:val="Predvolenpsmoodseku"/>
    <w:link w:val="Nadpis4"/>
    <w:uiPriority w:val="9"/>
    <w:semiHidden/>
    <w:rsid w:val="00CA2D4F"/>
    <w:rPr>
      <w:rFonts w:eastAsiaTheme="majorEastAsia" w:cstheme="majorBidi"/>
      <w:i/>
      <w:iCs/>
      <w:color w:val="2F5496" w:themeColor="accent1" w:themeShade="BF"/>
      <w:lang w:val="en-US"/>
    </w:rPr>
  </w:style>
  <w:style w:type="character" w:customStyle="1" w:styleId="Nadpis5Char">
    <w:name w:val="Nadpis 5 Char"/>
    <w:basedOn w:val="Predvolenpsmoodseku"/>
    <w:link w:val="Nadpis5"/>
    <w:uiPriority w:val="9"/>
    <w:semiHidden/>
    <w:rsid w:val="00CA2D4F"/>
    <w:rPr>
      <w:rFonts w:eastAsiaTheme="majorEastAsia" w:cstheme="majorBidi"/>
      <w:color w:val="2F5496" w:themeColor="accent1" w:themeShade="BF"/>
      <w:lang w:val="en-US"/>
    </w:rPr>
  </w:style>
  <w:style w:type="character" w:customStyle="1" w:styleId="Nadpis6Char">
    <w:name w:val="Nadpis 6 Char"/>
    <w:basedOn w:val="Predvolenpsmoodseku"/>
    <w:link w:val="Nadpis6"/>
    <w:uiPriority w:val="9"/>
    <w:semiHidden/>
    <w:rsid w:val="00CA2D4F"/>
    <w:rPr>
      <w:rFonts w:eastAsiaTheme="majorEastAsia" w:cstheme="majorBidi"/>
      <w:i/>
      <w:iCs/>
      <w:color w:val="595959" w:themeColor="text1" w:themeTint="A6"/>
      <w:lang w:val="en-US"/>
    </w:rPr>
  </w:style>
  <w:style w:type="character" w:customStyle="1" w:styleId="Nadpis7Char">
    <w:name w:val="Nadpis 7 Char"/>
    <w:basedOn w:val="Predvolenpsmoodseku"/>
    <w:link w:val="Nadpis7"/>
    <w:uiPriority w:val="9"/>
    <w:semiHidden/>
    <w:rsid w:val="00CA2D4F"/>
    <w:rPr>
      <w:rFonts w:eastAsiaTheme="majorEastAsia" w:cstheme="majorBidi"/>
      <w:color w:val="595959" w:themeColor="text1" w:themeTint="A6"/>
      <w:lang w:val="en-US"/>
    </w:rPr>
  </w:style>
  <w:style w:type="character" w:customStyle="1" w:styleId="Nadpis8Char">
    <w:name w:val="Nadpis 8 Char"/>
    <w:basedOn w:val="Predvolenpsmoodseku"/>
    <w:link w:val="Nadpis8"/>
    <w:uiPriority w:val="9"/>
    <w:semiHidden/>
    <w:rsid w:val="00CA2D4F"/>
    <w:rPr>
      <w:rFonts w:eastAsiaTheme="majorEastAsia" w:cstheme="majorBidi"/>
      <w:i/>
      <w:iCs/>
      <w:color w:val="272727" w:themeColor="text1" w:themeTint="D8"/>
      <w:lang w:val="en-US"/>
    </w:rPr>
  </w:style>
  <w:style w:type="character" w:customStyle="1" w:styleId="Nadpis9Char">
    <w:name w:val="Nadpis 9 Char"/>
    <w:basedOn w:val="Predvolenpsmoodseku"/>
    <w:link w:val="Nadpis9"/>
    <w:uiPriority w:val="9"/>
    <w:semiHidden/>
    <w:rsid w:val="00CA2D4F"/>
    <w:rPr>
      <w:rFonts w:eastAsiaTheme="majorEastAsia" w:cstheme="majorBidi"/>
      <w:color w:val="272727" w:themeColor="text1" w:themeTint="D8"/>
      <w:lang w:val="en-US"/>
    </w:rPr>
  </w:style>
  <w:style w:type="paragraph" w:styleId="Nzov">
    <w:name w:val="Title"/>
    <w:basedOn w:val="Normlny"/>
    <w:next w:val="Normlny"/>
    <w:link w:val="NzovChar"/>
    <w:uiPriority w:val="10"/>
    <w:qFormat/>
    <w:rsid w:val="00CA2D4F"/>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A2D4F"/>
    <w:rPr>
      <w:rFonts w:asciiTheme="majorHAnsi" w:eastAsiaTheme="majorEastAsia" w:hAnsiTheme="majorHAnsi" w:cstheme="majorBidi"/>
      <w:spacing w:val="-10"/>
      <w:kern w:val="28"/>
      <w:sz w:val="56"/>
      <w:szCs w:val="56"/>
      <w:lang w:val="en-US"/>
    </w:rPr>
  </w:style>
  <w:style w:type="paragraph" w:styleId="Podtitul">
    <w:name w:val="Subtitle"/>
    <w:basedOn w:val="Normlny"/>
    <w:next w:val="Normlny"/>
    <w:link w:val="PodtitulChar"/>
    <w:uiPriority w:val="11"/>
    <w:qFormat/>
    <w:rsid w:val="00CA2D4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CA2D4F"/>
    <w:rPr>
      <w:rFonts w:eastAsiaTheme="majorEastAsia" w:cstheme="majorBidi"/>
      <w:color w:val="595959" w:themeColor="text1" w:themeTint="A6"/>
      <w:spacing w:val="15"/>
      <w:sz w:val="28"/>
      <w:szCs w:val="28"/>
      <w:lang w:val="en-US"/>
    </w:rPr>
  </w:style>
  <w:style w:type="paragraph" w:styleId="Citcia">
    <w:name w:val="Quote"/>
    <w:basedOn w:val="Normlny"/>
    <w:next w:val="Normlny"/>
    <w:link w:val="CitciaChar"/>
    <w:uiPriority w:val="29"/>
    <w:qFormat/>
    <w:rsid w:val="00CA2D4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CA2D4F"/>
    <w:rPr>
      <w:i/>
      <w:iCs/>
      <w:color w:val="404040" w:themeColor="text1" w:themeTint="BF"/>
      <w:lang w:val="en-US"/>
    </w:rPr>
  </w:style>
  <w:style w:type="paragraph" w:styleId="Odsekzoznamu">
    <w:name w:val="List Paragraph"/>
    <w:basedOn w:val="Normlny"/>
    <w:uiPriority w:val="34"/>
    <w:qFormat/>
    <w:rsid w:val="00CA2D4F"/>
    <w:pPr>
      <w:ind w:left="720"/>
      <w:contextualSpacing/>
    </w:pPr>
  </w:style>
  <w:style w:type="character" w:styleId="Intenzvnezvraznenie">
    <w:name w:val="Intense Emphasis"/>
    <w:basedOn w:val="Predvolenpsmoodseku"/>
    <w:uiPriority w:val="21"/>
    <w:qFormat/>
    <w:rsid w:val="00CA2D4F"/>
    <w:rPr>
      <w:i/>
      <w:iCs/>
      <w:color w:val="2F5496" w:themeColor="accent1" w:themeShade="BF"/>
    </w:rPr>
  </w:style>
  <w:style w:type="paragraph" w:styleId="Zvraznencitcia">
    <w:name w:val="Intense Quote"/>
    <w:basedOn w:val="Normlny"/>
    <w:next w:val="Normlny"/>
    <w:link w:val="ZvraznencitciaChar"/>
    <w:uiPriority w:val="30"/>
    <w:qFormat/>
    <w:rsid w:val="00CA2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CA2D4F"/>
    <w:rPr>
      <w:i/>
      <w:iCs/>
      <w:color w:val="2F5496" w:themeColor="accent1" w:themeShade="BF"/>
      <w:lang w:val="en-US"/>
    </w:rPr>
  </w:style>
  <w:style w:type="character" w:styleId="Zvraznenodkaz">
    <w:name w:val="Intense Reference"/>
    <w:basedOn w:val="Predvolenpsmoodseku"/>
    <w:uiPriority w:val="32"/>
    <w:qFormat/>
    <w:rsid w:val="00CA2D4F"/>
    <w:rPr>
      <w:b/>
      <w:bCs/>
      <w:smallCaps/>
      <w:color w:val="2F5496" w:themeColor="accent1" w:themeShade="BF"/>
      <w:spacing w:val="5"/>
    </w:rPr>
  </w:style>
  <w:style w:type="table" w:styleId="Mriekatabuky">
    <w:name w:val="Table Grid"/>
    <w:basedOn w:val="Normlnatabuka"/>
    <w:uiPriority w:val="59"/>
    <w:rsid w:val="00CA2D4F"/>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CA2D4F"/>
    <w:pPr>
      <w:tabs>
        <w:tab w:val="center" w:pos="4536"/>
        <w:tab w:val="right" w:pos="9072"/>
      </w:tabs>
    </w:pPr>
  </w:style>
  <w:style w:type="character" w:customStyle="1" w:styleId="HlavikaChar">
    <w:name w:val="Hlavička Char"/>
    <w:basedOn w:val="Predvolenpsmoodseku"/>
    <w:link w:val="Hlavika"/>
    <w:uiPriority w:val="99"/>
    <w:rsid w:val="00CA2D4F"/>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CA2D4F"/>
    <w:pPr>
      <w:tabs>
        <w:tab w:val="center" w:pos="4536"/>
        <w:tab w:val="right" w:pos="9072"/>
      </w:tabs>
    </w:pPr>
  </w:style>
  <w:style w:type="character" w:customStyle="1" w:styleId="PtaChar">
    <w:name w:val="Päta Char"/>
    <w:basedOn w:val="Predvolenpsmoodseku"/>
    <w:link w:val="Pta"/>
    <w:uiPriority w:val="99"/>
    <w:rsid w:val="00CA2D4F"/>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aspi://module='ASPI'&amp;link='614/2002%20Z.z.'&amp;ucin-k-dni='30.12.9999'"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Sprouse Lucas Andrew</dc:creator>
  <cp:keywords/>
  <dc:description/>
  <cp:lastModifiedBy>Lucia Sulikova</cp:lastModifiedBy>
  <cp:revision>3</cp:revision>
  <dcterms:created xsi:type="dcterms:W3CDTF">2025-02-17T14:07:00Z</dcterms:created>
  <dcterms:modified xsi:type="dcterms:W3CDTF">2025-02-20T13:24:00Z</dcterms:modified>
</cp:coreProperties>
</file>